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959DC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/>
        <w:jc w:val="both"/>
        <w:rPr>
          <w:rStyle w:val="5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  <w:r>
        <w:rPr>
          <w:rStyle w:val="5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附件：</w:t>
      </w:r>
      <w:bookmarkStart w:id="0" w:name="_GoBack"/>
      <w:bookmarkEnd w:id="0"/>
    </w:p>
    <w:p w14:paraId="3390D68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4160" w:firstLineChars="1300"/>
        <w:jc w:val="both"/>
        <w:rPr>
          <w:rStyle w:val="5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</w:pPr>
    </w:p>
    <w:tbl>
      <w:tblPr>
        <w:tblStyle w:val="3"/>
        <w:tblW w:w="95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8171"/>
      </w:tblGrid>
      <w:tr w14:paraId="53A6E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367" w:type="dxa"/>
            <w:vAlign w:val="center"/>
          </w:tcPr>
          <w:p w14:paraId="36A42ACC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评分因素</w:t>
            </w:r>
          </w:p>
        </w:tc>
        <w:tc>
          <w:tcPr>
            <w:tcW w:w="8171" w:type="dxa"/>
            <w:vAlign w:val="center"/>
          </w:tcPr>
          <w:p w14:paraId="57A553EF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评分标准</w:t>
            </w:r>
          </w:p>
        </w:tc>
      </w:tr>
      <w:tr w14:paraId="20D5C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1367" w:type="dxa"/>
            <w:vAlign w:val="center"/>
          </w:tcPr>
          <w:p w14:paraId="016312F8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工作重点、难点分析（满分5分）</w:t>
            </w:r>
          </w:p>
        </w:tc>
        <w:tc>
          <w:tcPr>
            <w:tcW w:w="8171" w:type="dxa"/>
            <w:vAlign w:val="center"/>
          </w:tcPr>
          <w:p w14:paraId="646B80F7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 xml:space="preserve">根据供应商对工作重点、难点分析及解决对策、合理化建议情况进行综合评议： </w:t>
            </w:r>
          </w:p>
          <w:p w14:paraId="1F7174AC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1.认知准确、思路清晰，能把握关键点、难点并有相对应的合理化建议及解决措施的：4-5分；</w:t>
            </w:r>
          </w:p>
          <w:p w14:paraId="20F3FF6A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2.合理，可行的：2-3分；</w:t>
            </w:r>
          </w:p>
          <w:p w14:paraId="577590BA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3.欠合理，基本可行的：0--1分；</w:t>
            </w:r>
          </w:p>
        </w:tc>
      </w:tr>
      <w:tr w14:paraId="57CC8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7" w:type="dxa"/>
            <w:vAlign w:val="center"/>
          </w:tcPr>
          <w:p w14:paraId="5CB59644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 xml:space="preserve">维护保养服务方案评审评分       （满分 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分）</w:t>
            </w:r>
          </w:p>
          <w:p w14:paraId="5DE6CBA6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171" w:type="dxa"/>
            <w:vAlign w:val="bottom"/>
          </w:tcPr>
          <w:p w14:paraId="1B8A102A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1.供应商对本项目维护保养服务内容、范围理解透彻，服务方案符合采购人实际工作情况，内容详尽、完整，重点突出，完成满足采购人需求，针对性强：17--20分；</w:t>
            </w:r>
          </w:p>
          <w:p w14:paraId="0549E14B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2.供应商对本项目维护保养服务内容、范围理解到位，服务方案基本符合采购人实际工作情况，内容较完整，有侧重点，基本满足采购人需求，有针对性11--16分；</w:t>
            </w:r>
          </w:p>
          <w:p w14:paraId="17528D9F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3.供应商对本项目维护保养服务内容、范围理解基本到位，服务方案较为符合采购人实际工作情况，内容基本完整，重点基本明确，基本满足采购人需求6--10分；</w:t>
            </w:r>
          </w:p>
          <w:p w14:paraId="1CD19CE2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4.供应商对本项目维护保养服务内容、范围理解差，服务方案不符合采购人实际工作情况，内容缺漏，重点不明确：1--5分；</w:t>
            </w:r>
          </w:p>
        </w:tc>
      </w:tr>
      <w:tr w14:paraId="4142E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7" w:type="dxa"/>
            <w:vAlign w:val="center"/>
          </w:tcPr>
          <w:p w14:paraId="1FFBE135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安全培训方案      （满分5分）</w:t>
            </w:r>
          </w:p>
        </w:tc>
        <w:tc>
          <w:tcPr>
            <w:tcW w:w="8171" w:type="dxa"/>
            <w:vAlign w:val="bottom"/>
          </w:tcPr>
          <w:p w14:paraId="1FB5264F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 xml:space="preserve">1.安全培训方案全面细致、简捷有效、易操作、易领会、容易全面掌握，各种故障处理预案准备充分细致：4--5分； </w:t>
            </w:r>
          </w:p>
          <w:p w14:paraId="477BF619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 xml:space="preserve">2.安全培训方案，各种故障处理预案准备满足项目要求：2--3分； </w:t>
            </w:r>
          </w:p>
          <w:p w14:paraId="77F9EC1A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3.安全培训方案，各种故障处理预案不合理或不能满足项目要求的：0--1分；</w:t>
            </w:r>
          </w:p>
        </w:tc>
      </w:tr>
      <w:tr w14:paraId="44D2E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7" w:type="dxa"/>
            <w:vAlign w:val="center"/>
          </w:tcPr>
          <w:p w14:paraId="328B627F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驻场、检测和维保服务标准及承诺（满分5分）</w:t>
            </w:r>
          </w:p>
        </w:tc>
        <w:tc>
          <w:tcPr>
            <w:tcW w:w="8171" w:type="dxa"/>
            <w:vAlign w:val="center"/>
          </w:tcPr>
          <w:p w14:paraId="6787599F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1.阐述内容合理、全面、可行性强：4--5分；</w:t>
            </w:r>
          </w:p>
          <w:p w14:paraId="3CAAA943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2.阐述内容较较合理、较全面、可行性较强：2--3分；</w:t>
            </w:r>
          </w:p>
          <w:p w14:paraId="0A762673">
            <w:pPr>
              <w:spacing w:line="240" w:lineRule="exact"/>
              <w:ind w:firstLine="480" w:firstLineChars="2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3.阐述内容不太合理、不太全面、不太可行：0--1分；</w:t>
            </w:r>
          </w:p>
        </w:tc>
      </w:tr>
      <w:tr w14:paraId="511C9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1367" w:type="dxa"/>
            <w:vAlign w:val="center"/>
          </w:tcPr>
          <w:p w14:paraId="22EFBB41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管理人员及各专业配置人员审查评分 （满分10分）</w:t>
            </w:r>
          </w:p>
        </w:tc>
        <w:tc>
          <w:tcPr>
            <w:tcW w:w="8171" w:type="dxa"/>
            <w:vAlign w:val="center"/>
          </w:tcPr>
          <w:p w14:paraId="509A2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（1）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驻场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配置人员人数及资质优，人员配备完全满足项目实际需求，相关人员具有丰富的维保经验，人员职责划分清晰、明确，承担过较多的类似项目，能够较好的承担本项目的工作内容的得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--10分；</w:t>
            </w:r>
          </w:p>
          <w:p w14:paraId="2E3E1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（2）配置人员人数及资质证书基本满足项目需求，相关人员具有维保经验，人员职责划分基本清晰、明确，能够基本胜任本项目的工作的得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--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分；</w:t>
            </w:r>
          </w:p>
          <w:p w14:paraId="466DD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华文中宋" w:hAnsi="华文中宋" w:eastAsia="华文中宋" w:cs="华文中宋"/>
                <w:color w:val="auto"/>
                <w:kern w:val="2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（3）专业配置人员实力一般，承担过类似项目较少，实力较差的，不能满足本项目需求的得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1--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分；</w:t>
            </w:r>
          </w:p>
        </w:tc>
      </w:tr>
      <w:tr w14:paraId="5080D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7" w:type="dxa"/>
            <w:vAlign w:val="center"/>
          </w:tcPr>
          <w:p w14:paraId="4CC64551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应急预案</w:t>
            </w:r>
          </w:p>
          <w:p w14:paraId="374EB12F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（满分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分）</w:t>
            </w:r>
          </w:p>
        </w:tc>
        <w:tc>
          <w:tcPr>
            <w:tcW w:w="8171" w:type="dxa"/>
            <w:vAlign w:val="center"/>
          </w:tcPr>
          <w:p w14:paraId="43401BC6">
            <w:pPr>
              <w:spacing w:before="72" w:beforeLines="30"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1.应急预案完整，方案科学、合理、可行，能够较好的应对突发事件，对本项目有较强的针对性的，得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8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--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分；</w:t>
            </w:r>
          </w:p>
          <w:p w14:paraId="4E04777E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2.应急预案较为完整，方案合理、可行，能够应对突发事件，对本项目具有一定针对性的，得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--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分；</w:t>
            </w:r>
          </w:p>
          <w:p w14:paraId="7F4D0642">
            <w:pPr>
              <w:spacing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3.应急预案不完整，存在一定遗漏，方案基本可行，能够应对突发事件，对本项目的针对性一般的，得1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--3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分；</w:t>
            </w:r>
          </w:p>
          <w:p w14:paraId="18D82104">
            <w:pPr>
              <w:spacing w:after="72" w:afterLines="30" w:line="240" w:lineRule="exact"/>
              <w:ind w:firstLine="240" w:firstLineChars="100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注：无应急预案或应急预案存在不合理、不可行，不能够应对突发事件的情况，不得分。</w:t>
            </w:r>
          </w:p>
        </w:tc>
      </w:tr>
      <w:tr w14:paraId="367CB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7" w:type="dxa"/>
            <w:vAlign w:val="center"/>
          </w:tcPr>
          <w:p w14:paraId="77FF83AC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管理制度（满分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分）</w:t>
            </w:r>
          </w:p>
          <w:p w14:paraId="318F2867">
            <w:pPr>
              <w:spacing w:line="240" w:lineRule="exact"/>
              <w:jc w:val="center"/>
              <w:rPr>
                <w:rFonts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171" w:type="dxa"/>
            <w:vAlign w:val="center"/>
          </w:tcPr>
          <w:p w14:paraId="6C1E735A">
            <w:pPr>
              <w:widowControl/>
              <w:spacing w:line="240" w:lineRule="exact"/>
              <w:jc w:val="left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各项管理制度符合法律法规及行业相关规定，制度健全且科学合理得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--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分， </w:t>
            </w:r>
          </w:p>
          <w:p w14:paraId="3483879F">
            <w:pPr>
              <w:widowControl/>
              <w:spacing w:line="240" w:lineRule="exact"/>
              <w:jc w:val="left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2.制度较健全且科学较合理得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--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分， </w:t>
            </w:r>
          </w:p>
          <w:p w14:paraId="1F888712">
            <w:pPr>
              <w:widowControl/>
              <w:spacing w:line="240" w:lineRule="exact"/>
              <w:jc w:val="left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>3.制度基本健全得1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--3</w:t>
            </w: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分。 </w:t>
            </w:r>
          </w:p>
          <w:p w14:paraId="2D96C44A">
            <w:pPr>
              <w:widowControl/>
              <w:spacing w:line="240" w:lineRule="exact"/>
              <w:jc w:val="left"/>
              <w:rPr>
                <w:rFonts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color w:val="000000"/>
                <w:kern w:val="0"/>
                <w:sz w:val="24"/>
                <w:szCs w:val="24"/>
                <w:highlight w:val="none"/>
                <w:lang w:bidi="ar"/>
              </w:rPr>
              <w:t xml:space="preserve">未提供得0分。 </w:t>
            </w:r>
          </w:p>
        </w:tc>
      </w:tr>
      <w:tr w14:paraId="549D1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367" w:type="dxa"/>
            <w:vMerge w:val="restart"/>
            <w:tcBorders>
              <w:right w:val="single" w:color="auto" w:sz="4" w:space="0"/>
            </w:tcBorders>
            <w:vAlign w:val="center"/>
          </w:tcPr>
          <w:p w14:paraId="5D0CB06D">
            <w:pPr>
              <w:spacing w:line="240" w:lineRule="exact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  <w:t>服务质量保证措施评分（满分15分）</w:t>
            </w:r>
          </w:p>
        </w:tc>
        <w:tc>
          <w:tcPr>
            <w:tcW w:w="817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6E0013F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对各供应商服务承诺横向对比（满分5分）：</w:t>
            </w:r>
          </w:p>
          <w:p w14:paraId="6B0594BA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 xml:space="preserve">1、供应商的服务承诺科学、合理、思路清晰，完全满足采购人的需求：4-5分； </w:t>
            </w:r>
          </w:p>
          <w:p w14:paraId="6B1432E3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2、供应商的服务承诺一般的：2-3分；</w:t>
            </w:r>
          </w:p>
          <w:p w14:paraId="65187BDA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3、无服务承诺的:0--1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  <w:lang w:val="en-US" w:eastAsia="zh-CN"/>
              </w:rPr>
              <w:t>分</w:t>
            </w: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。</w:t>
            </w:r>
          </w:p>
        </w:tc>
      </w:tr>
      <w:tr w14:paraId="78205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367" w:type="dxa"/>
            <w:vMerge w:val="continue"/>
            <w:tcBorders>
              <w:right w:val="single" w:color="auto" w:sz="4" w:space="0"/>
            </w:tcBorders>
            <w:vAlign w:val="center"/>
          </w:tcPr>
          <w:p w14:paraId="3AF0CF90">
            <w:pPr>
              <w:spacing w:line="240" w:lineRule="exact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17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6C0A2EB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对各供应商的违约承诺方面进行横向对比（满分5分）：</w:t>
            </w:r>
          </w:p>
          <w:p w14:paraId="2834ABC4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1.有明确的违约承诺的：4-5分。</w:t>
            </w:r>
          </w:p>
          <w:p w14:paraId="3069F272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2.违约承诺一般：2-3分。</w:t>
            </w:r>
          </w:p>
          <w:p w14:paraId="0E17885E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3.无违约承诺的：0--1分。</w:t>
            </w:r>
          </w:p>
        </w:tc>
      </w:tr>
      <w:tr w14:paraId="35CDD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7" w:hRule="atLeast"/>
        </w:trPr>
        <w:tc>
          <w:tcPr>
            <w:tcW w:w="1367" w:type="dxa"/>
            <w:vMerge w:val="continue"/>
            <w:tcBorders>
              <w:right w:val="single" w:color="auto" w:sz="4" w:space="0"/>
            </w:tcBorders>
            <w:vAlign w:val="center"/>
          </w:tcPr>
          <w:p w14:paraId="46B05FA6">
            <w:pPr>
              <w:spacing w:line="240" w:lineRule="exact"/>
              <w:jc w:val="center"/>
              <w:rPr>
                <w:rFonts w:hint="eastAsia" w:ascii="华文中宋" w:hAnsi="华文中宋" w:eastAsia="华文中宋" w:cs="华文中宋"/>
                <w:b/>
                <w:bCs/>
                <w:sz w:val="24"/>
                <w:szCs w:val="24"/>
                <w:highlight w:val="none"/>
              </w:rPr>
            </w:pPr>
          </w:p>
        </w:tc>
        <w:tc>
          <w:tcPr>
            <w:tcW w:w="81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4C462CB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对各供应商的增值服务方面进行横向对比（满分5分）：</w:t>
            </w:r>
          </w:p>
          <w:p w14:paraId="64890B68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1.有优于采购要求的增值服务：4-5分。</w:t>
            </w:r>
          </w:p>
          <w:p w14:paraId="16D71DE5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2.有一定的增值服务：2-3分。</w:t>
            </w:r>
          </w:p>
          <w:p w14:paraId="13CADEB4">
            <w:pPr>
              <w:spacing w:before="72" w:beforeLines="30" w:line="240" w:lineRule="exact"/>
              <w:ind w:firstLine="240" w:firstLineChars="100"/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</w:pPr>
            <w:r>
              <w:rPr>
                <w:rFonts w:hint="eastAsia" w:ascii="华文中宋" w:hAnsi="华文中宋" w:eastAsia="华文中宋" w:cs="华文中宋"/>
                <w:sz w:val="24"/>
                <w:szCs w:val="24"/>
                <w:highlight w:val="none"/>
              </w:rPr>
              <w:t>3.无增值服务的：0--1分。</w:t>
            </w:r>
          </w:p>
        </w:tc>
      </w:tr>
    </w:tbl>
    <w:p w14:paraId="3261C9E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D47CA"/>
    <w:rsid w:val="73BD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2026-08-10T09:53:00Z</dcterms:created>
  <dc:creator>庞晋伟</dc:creator>
  <cp:lastModifiedBy>庞晋伟</cp:lastModifiedBy>
  <dcterms:modified xsi:type="dcterms:W3CDTF">2026-08-10T09:54:12Z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C465922D631C4960B7662FD235F6C241_11</vt:lpwstr>
  </property>
  <property fmtid="{D5CDD505-2E9C-101B-9397-08002B2CF9AE}" pid="4" name="KSOTemplateDocerSaveRecord">
    <vt:lpwstr>eyJoZGlkIjoiMmUwMTcwZWU3ZmFlNDliMmQxNmQ3ZjJkMDA0YjE0OTIiLCJ1c2VySWQiOiI1ODUwNjMyMjMifQ==</vt:lpwstr>
  </property>
</Properties>
</file>