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0B6F2">
      <w:pPr>
        <w:widowControl/>
        <w:jc w:val="center"/>
        <w:textAlignment w:val="center"/>
        <w:rPr>
          <w:rStyle w:val="12"/>
          <w:rFonts w:hint="default"/>
          <w:b/>
          <w:bCs/>
          <w:u w:val="none"/>
        </w:rPr>
      </w:pPr>
    </w:p>
    <w:tbl>
      <w:tblPr>
        <w:tblStyle w:val="7"/>
        <w:tblW w:w="16185" w:type="dxa"/>
        <w:tblInd w:w="0" w:type="dxa"/>
        <w:tblLayout w:type="fixed"/>
        <w:tblCellMar>
          <w:top w:w="15" w:type="dxa"/>
          <w:left w:w="15" w:type="dxa"/>
          <w:bottom w:w="15" w:type="dxa"/>
          <w:right w:w="15" w:type="dxa"/>
        </w:tblCellMar>
      </w:tblPr>
      <w:tblGrid>
        <w:gridCol w:w="615"/>
        <w:gridCol w:w="726"/>
        <w:gridCol w:w="10268"/>
        <w:gridCol w:w="691"/>
        <w:gridCol w:w="705"/>
        <w:gridCol w:w="1080"/>
        <w:gridCol w:w="1215"/>
        <w:gridCol w:w="885"/>
      </w:tblGrid>
      <w:tr w14:paraId="5F1C3978">
        <w:tblPrEx>
          <w:tblCellMar>
            <w:top w:w="15" w:type="dxa"/>
            <w:left w:w="15" w:type="dxa"/>
            <w:bottom w:w="15" w:type="dxa"/>
            <w:right w:w="15" w:type="dxa"/>
          </w:tblCellMar>
        </w:tblPrEx>
        <w:trPr>
          <w:trHeight w:val="780" w:hRule="atLeast"/>
        </w:trPr>
        <w:tc>
          <w:tcPr>
            <w:tcW w:w="16185" w:type="dxa"/>
            <w:gridSpan w:val="8"/>
            <w:shd w:val="clear" w:color="auto" w:fill="auto"/>
            <w:vAlign w:val="center"/>
          </w:tcPr>
          <w:p w14:paraId="6AA86E32">
            <w:pPr>
              <w:jc w:val="center"/>
              <w:rPr>
                <w:rFonts w:ascii="宋体" w:hAnsi="宋体" w:eastAsia="宋体" w:cs="宋体"/>
                <w:color w:val="000000"/>
                <w:sz w:val="28"/>
                <w:szCs w:val="28"/>
              </w:rPr>
            </w:pPr>
            <w:r>
              <w:rPr>
                <w:rStyle w:val="12"/>
                <w:b/>
                <w:bCs/>
                <w:sz w:val="48"/>
                <w:szCs w:val="48"/>
                <w:u w:val="none"/>
              </w:rPr>
              <w:t>红河县</w:t>
            </w:r>
            <w:r>
              <w:rPr>
                <w:rStyle w:val="12"/>
                <w:rFonts w:hint="eastAsia"/>
                <w:b/>
                <w:bCs/>
                <w:sz w:val="48"/>
                <w:szCs w:val="48"/>
                <w:u w:val="none"/>
                <w:lang w:val="en-US" w:eastAsia="zh-CN"/>
              </w:rPr>
              <w:t>人民医院</w:t>
            </w:r>
            <w:r>
              <w:rPr>
                <w:rStyle w:val="12"/>
                <w:rFonts w:hint="eastAsia"/>
                <w:b/>
                <w:bCs/>
                <w:sz w:val="48"/>
                <w:szCs w:val="48"/>
                <w:u w:val="single"/>
              </w:rPr>
              <w:t>高压发生器</w:t>
            </w:r>
            <w:r>
              <w:rPr>
                <w:rStyle w:val="12"/>
                <w:rFonts w:hint="default"/>
                <w:b/>
                <w:bCs/>
                <w:sz w:val="48"/>
                <w:szCs w:val="48"/>
                <w:u w:val="none"/>
              </w:rPr>
              <w:t>采购需求参数表</w:t>
            </w:r>
          </w:p>
        </w:tc>
      </w:tr>
      <w:tr w14:paraId="6345BD99">
        <w:tblPrEx>
          <w:tblCellMar>
            <w:top w:w="15" w:type="dxa"/>
            <w:left w:w="15" w:type="dxa"/>
            <w:bottom w:w="15" w:type="dxa"/>
            <w:right w:w="15" w:type="dxa"/>
          </w:tblCellMar>
        </w:tblPrEx>
        <w:trPr>
          <w:trHeight w:val="6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06B8">
            <w:pPr>
              <w:widowControl/>
              <w:jc w:val="center"/>
              <w:textAlignment w:val="center"/>
              <w:rPr>
                <w:rFonts w:ascii="宋体" w:hAnsi="宋体" w:eastAsia="宋体" w:cs="宋体"/>
                <w:b/>
                <w:bCs/>
                <w:color w:val="000000"/>
                <w:sz w:val="28"/>
                <w:szCs w:val="28"/>
              </w:rPr>
            </w:pPr>
            <w:r>
              <w:rPr>
                <w:rFonts w:hint="eastAsia" w:ascii="宋体" w:hAnsi="宋体" w:eastAsia="宋体" w:cs="宋体"/>
                <w:b/>
                <w:bCs/>
                <w:color w:val="000000"/>
                <w:kern w:val="0"/>
                <w:sz w:val="28"/>
                <w:szCs w:val="28"/>
              </w:rPr>
              <w:t>序号</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3E52B">
            <w:pPr>
              <w:widowControl/>
              <w:jc w:val="center"/>
              <w:textAlignment w:val="center"/>
              <w:rPr>
                <w:rFonts w:ascii="宋体" w:hAnsi="宋体" w:eastAsia="宋体" w:cs="宋体"/>
                <w:b/>
                <w:bCs/>
                <w:color w:val="000000"/>
                <w:sz w:val="28"/>
                <w:szCs w:val="28"/>
              </w:rPr>
            </w:pPr>
            <w:r>
              <w:rPr>
                <w:rFonts w:hint="eastAsia" w:ascii="宋体" w:hAnsi="宋体" w:eastAsia="宋体" w:cs="宋体"/>
                <w:b/>
                <w:bCs/>
                <w:color w:val="000000"/>
                <w:kern w:val="0"/>
                <w:sz w:val="28"/>
                <w:szCs w:val="28"/>
              </w:rPr>
              <w:t>物资名称</w:t>
            </w:r>
          </w:p>
        </w:tc>
        <w:tc>
          <w:tcPr>
            <w:tcW w:w="10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4498D">
            <w:pPr>
              <w:widowControl/>
              <w:jc w:val="center"/>
              <w:textAlignment w:val="center"/>
              <w:rPr>
                <w:rFonts w:ascii="宋体" w:hAnsi="宋体" w:eastAsia="宋体" w:cs="宋体"/>
                <w:b/>
                <w:bCs/>
                <w:color w:val="000000"/>
                <w:sz w:val="28"/>
                <w:szCs w:val="28"/>
              </w:rPr>
            </w:pPr>
            <w:r>
              <w:rPr>
                <w:rFonts w:hint="eastAsia" w:ascii="宋体" w:hAnsi="宋体" w:eastAsia="宋体" w:cs="宋体"/>
                <w:b/>
                <w:bCs/>
                <w:color w:val="000000"/>
                <w:kern w:val="0"/>
                <w:sz w:val="44"/>
                <w:szCs w:val="44"/>
              </w:rPr>
              <w:t>技术参数及要求</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0EA41">
            <w:pPr>
              <w:widowControl/>
              <w:jc w:val="center"/>
              <w:textAlignment w:val="center"/>
              <w:rPr>
                <w:rFonts w:ascii="宋体" w:hAnsi="宋体" w:eastAsia="宋体" w:cs="宋体"/>
                <w:b/>
                <w:bCs/>
                <w:color w:val="000000"/>
                <w:sz w:val="28"/>
                <w:szCs w:val="28"/>
              </w:rPr>
            </w:pPr>
            <w:r>
              <w:rPr>
                <w:rFonts w:hint="eastAsia" w:ascii="宋体" w:hAnsi="宋体" w:eastAsia="宋体" w:cs="宋体"/>
                <w:b/>
                <w:bCs/>
                <w:color w:val="000000"/>
                <w:kern w:val="0"/>
                <w:sz w:val="28"/>
                <w:szCs w:val="28"/>
              </w:rPr>
              <w:t>数量</w:t>
            </w:r>
          </w:p>
        </w:tc>
        <w:tc>
          <w:tcPr>
            <w:tcW w:w="705" w:type="dxa"/>
            <w:tcBorders>
              <w:top w:val="single" w:color="000000" w:sz="4" w:space="0"/>
              <w:left w:val="single" w:color="000000" w:sz="4" w:space="0"/>
              <w:bottom w:val="single" w:color="000000" w:sz="4" w:space="0"/>
              <w:right w:val="single" w:color="000000" w:sz="4" w:space="0"/>
            </w:tcBorders>
            <w:shd w:val="clear" w:color="auto" w:fill="auto"/>
          </w:tcPr>
          <w:p w14:paraId="08A2CEEA">
            <w:pPr>
              <w:widowControl/>
              <w:jc w:val="center"/>
              <w:textAlignment w:val="top"/>
              <w:rPr>
                <w:rFonts w:ascii="宋体" w:hAnsi="宋体" w:eastAsia="宋体" w:cs="宋体"/>
                <w:b/>
                <w:bCs/>
                <w:color w:val="000000"/>
                <w:sz w:val="28"/>
                <w:szCs w:val="28"/>
              </w:rPr>
            </w:pPr>
            <w:r>
              <w:rPr>
                <w:rFonts w:hint="eastAsia" w:ascii="宋体" w:hAnsi="宋体" w:eastAsia="宋体" w:cs="宋体"/>
                <w:b/>
                <w:bCs/>
                <w:color w:val="000000"/>
                <w:kern w:val="0"/>
                <w:sz w:val="28"/>
                <w:szCs w:val="28"/>
              </w:rPr>
              <w:t>计量单位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A57EE">
            <w:pPr>
              <w:widowControl/>
              <w:jc w:val="center"/>
              <w:textAlignment w:val="center"/>
              <w:rPr>
                <w:rFonts w:ascii="宋体" w:hAnsi="宋体" w:eastAsia="宋体" w:cs="宋体"/>
                <w:b/>
                <w:bCs/>
                <w:color w:val="000000"/>
                <w:sz w:val="28"/>
                <w:szCs w:val="28"/>
              </w:rPr>
            </w:pPr>
            <w:r>
              <w:rPr>
                <w:rFonts w:hint="eastAsia" w:ascii="宋体" w:hAnsi="宋体" w:eastAsia="宋体" w:cs="宋体"/>
                <w:b/>
                <w:bCs/>
                <w:color w:val="000000"/>
                <w:sz w:val="28"/>
                <w:szCs w:val="28"/>
              </w:rPr>
              <w:t>（单价）</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9C5F5">
            <w:pPr>
              <w:widowControl/>
              <w:jc w:val="center"/>
              <w:textAlignment w:val="center"/>
              <w:rPr>
                <w:rFonts w:ascii="宋体" w:hAnsi="宋体" w:eastAsia="宋体" w:cs="宋体"/>
                <w:b/>
                <w:bCs/>
                <w:color w:val="000000"/>
                <w:sz w:val="28"/>
                <w:szCs w:val="28"/>
              </w:rPr>
            </w:pPr>
            <w:r>
              <w:rPr>
                <w:rFonts w:hint="eastAsia" w:ascii="宋体" w:hAnsi="宋体" w:eastAsia="宋体" w:cs="宋体"/>
                <w:b/>
                <w:bCs/>
                <w:color w:val="000000"/>
                <w:kern w:val="0"/>
                <w:sz w:val="28"/>
                <w:szCs w:val="28"/>
              </w:rPr>
              <w:t>（总价）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2F1A6">
            <w:pPr>
              <w:widowControl/>
              <w:jc w:val="center"/>
              <w:textAlignment w:val="center"/>
              <w:rPr>
                <w:rFonts w:ascii="宋体" w:hAnsi="宋体" w:eastAsia="宋体" w:cs="宋体"/>
                <w:b/>
                <w:bCs/>
                <w:color w:val="000000"/>
                <w:sz w:val="28"/>
                <w:szCs w:val="28"/>
                <w:u w:val="single"/>
              </w:rPr>
            </w:pPr>
            <w:r>
              <w:rPr>
                <w:rFonts w:hint="eastAsia" w:ascii="宋体" w:hAnsi="宋体" w:eastAsia="宋体" w:cs="宋体"/>
                <w:b/>
                <w:bCs/>
                <w:color w:val="000000"/>
                <w:kern w:val="0"/>
                <w:sz w:val="28"/>
                <w:szCs w:val="28"/>
              </w:rPr>
              <w:t>备注</w:t>
            </w:r>
          </w:p>
        </w:tc>
      </w:tr>
      <w:tr w14:paraId="1DC13337">
        <w:tblPrEx>
          <w:tblCellMar>
            <w:top w:w="15" w:type="dxa"/>
            <w:left w:w="15" w:type="dxa"/>
            <w:bottom w:w="15" w:type="dxa"/>
            <w:right w:w="15" w:type="dxa"/>
          </w:tblCellMar>
        </w:tblPrEx>
        <w:trPr>
          <w:trHeight w:val="2062"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2440">
            <w:pPr>
              <w:widowControl/>
              <w:jc w:val="center"/>
              <w:textAlignment w:val="center"/>
              <w:rPr>
                <w:rFonts w:ascii="仿宋" w:hAnsi="仿宋" w:eastAsia="仿宋" w:cs="仿宋"/>
                <w:color w:val="000000"/>
                <w:kern w:val="0"/>
                <w:sz w:val="28"/>
                <w:szCs w:val="28"/>
                <w:u w:val="none"/>
              </w:rPr>
            </w:pPr>
            <w:r>
              <w:rPr>
                <w:rFonts w:hint="eastAsia" w:ascii="仿宋" w:hAnsi="仿宋" w:eastAsia="仿宋" w:cs="仿宋"/>
                <w:b/>
                <w:bCs/>
                <w:color w:val="000000"/>
                <w:kern w:val="0"/>
                <w:sz w:val="28"/>
                <w:szCs w:val="28"/>
                <w:u w:val="none"/>
              </w:rPr>
              <w:t>1</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FD8DC">
            <w:pPr>
              <w:widowControl/>
              <w:jc w:val="both"/>
              <w:textAlignment w:val="center"/>
              <w:rPr>
                <w:rFonts w:hint="eastAsia" w:ascii="仿宋" w:hAnsi="仿宋" w:eastAsia="仿宋" w:cs="仿宋"/>
                <w:b/>
                <w:bCs/>
                <w:color w:val="000000"/>
                <w:sz w:val="28"/>
                <w:szCs w:val="28"/>
                <w:u w:val="none"/>
                <w:lang w:val="en-US" w:eastAsia="zh-CN"/>
              </w:rPr>
            </w:pPr>
            <w:r>
              <w:rPr>
                <w:rFonts w:hint="eastAsia" w:ascii="宋体" w:hAnsi="宋体" w:eastAsia="宋体" w:cs="宋体"/>
                <w:b/>
                <w:bCs/>
                <w:sz w:val="32"/>
                <w:szCs w:val="32"/>
              </w:rPr>
              <w:t>高压发生器</w:t>
            </w:r>
          </w:p>
        </w:tc>
        <w:tc>
          <w:tcPr>
            <w:tcW w:w="10268" w:type="dxa"/>
            <w:tcBorders>
              <w:top w:val="single" w:color="000000" w:sz="4" w:space="0"/>
              <w:left w:val="single" w:color="000000" w:sz="4" w:space="0"/>
              <w:bottom w:val="single" w:color="000000" w:sz="4" w:space="0"/>
              <w:right w:val="single" w:color="000000" w:sz="4" w:space="0"/>
            </w:tcBorders>
            <w:shd w:val="clear" w:color="auto" w:fill="auto"/>
          </w:tcPr>
          <w:p w14:paraId="57FAA7E7">
            <w:pPr>
              <w:numPr>
                <w:ilvl w:val="0"/>
                <w:numId w:val="1"/>
              </w:numPr>
              <w:ind w:left="425" w:leftChars="0" w:hanging="425" w:firstLineChars="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适用机型:东软NeuViz Extra</w:t>
            </w:r>
          </w:p>
          <w:p w14:paraId="0E00420B">
            <w:pPr>
              <w:numPr>
                <w:ilvl w:val="0"/>
                <w:numId w:val="1"/>
              </w:numPr>
              <w:ind w:left="425" w:leftChars="0" w:hanging="425" w:firstLineChars="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主输入电源:400Vac+10%/-20%,47/63Hz</w:t>
            </w:r>
          </w:p>
          <w:p w14:paraId="2F92D1F0">
            <w:pPr>
              <w:numPr>
                <w:ilvl w:val="0"/>
                <w:numId w:val="1"/>
              </w:numPr>
              <w:ind w:left="425" w:leftChars="0" w:hanging="425" w:firstLineChars="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管电压设置(kV) 80、100、120、140</w:t>
            </w:r>
          </w:p>
          <w:p w14:paraId="27DC9934">
            <w:pPr>
              <w:numPr>
                <w:ilvl w:val="0"/>
                <w:numId w:val="1"/>
              </w:numPr>
              <w:ind w:left="425" w:leftChars="0" w:hanging="425" w:firstLineChars="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输出电压范围:60kVto140kV</w:t>
            </w:r>
          </w:p>
          <w:p w14:paraId="3C6BC3EB">
            <w:pPr>
              <w:numPr>
                <w:ilvl w:val="0"/>
                <w:numId w:val="1"/>
              </w:numPr>
              <w:ind w:left="425" w:leftChars="0" w:hanging="425" w:firstLineChars="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输出电压精度:士0.5%</w:t>
            </w:r>
          </w:p>
          <w:p w14:paraId="4A199BFC">
            <w:pPr>
              <w:numPr>
                <w:ilvl w:val="0"/>
                <w:numId w:val="1"/>
              </w:numPr>
              <w:ind w:left="425" w:leftChars="0" w:hanging="425" w:firstLineChars="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输出电流范围:10mA-667mA/80kW max</w:t>
            </w:r>
            <w:bookmarkStart w:id="0" w:name="_GoBack"/>
            <w:bookmarkEnd w:id="0"/>
          </w:p>
          <w:p w14:paraId="54E7C625">
            <w:pPr>
              <w:numPr>
                <w:ilvl w:val="0"/>
                <w:numId w:val="1"/>
              </w:numPr>
              <w:ind w:left="425" w:leftChars="0" w:hanging="425" w:firstLineChars="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输出电流精度:2% or1mAfor20to 667 mA</w:t>
            </w:r>
          </w:p>
          <w:p w14:paraId="0AEDF6BF">
            <w:pPr>
              <w:numPr>
                <w:ilvl w:val="0"/>
                <w:numId w:val="1"/>
              </w:numPr>
              <w:ind w:left="425" w:leftChars="0" w:hanging="425" w:firstLineChars="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灯丝输出:0-8A</w:t>
            </w:r>
          </w:p>
          <w:p w14:paraId="10E29C78">
            <w:pPr>
              <w:numPr>
                <w:ilvl w:val="0"/>
                <w:numId w:val="1"/>
              </w:numPr>
              <w:ind w:left="425" w:leftChars="0" w:hanging="425" w:firstLineChars="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灯丝输出精度:士2%</w:t>
            </w:r>
          </w:p>
          <w:p w14:paraId="0036755A">
            <w:pPr>
              <w:numPr>
                <w:ilvl w:val="0"/>
                <w:numId w:val="1"/>
              </w:numPr>
              <w:ind w:left="425" w:leftChars="0" w:hanging="425" w:firstLineChars="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灯丝输出重复度:士0.2%</w:t>
            </w:r>
          </w:p>
          <w:p w14:paraId="43C4BC47">
            <w:pPr>
              <w:numPr>
                <w:ilvl w:val="0"/>
                <w:numId w:val="1"/>
              </w:numPr>
              <w:ind w:left="425" w:leftChars="0" w:hanging="425" w:firstLineChars="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标称输出电功率(kW)80kW</w:t>
            </w:r>
          </w:p>
          <w:p w14:paraId="6CAA6056">
            <w:pPr>
              <w:numPr>
                <w:ilvl w:val="0"/>
                <w:numId w:val="1"/>
              </w:numPr>
              <w:ind w:left="425" w:leftChars="0" w:hanging="425" w:firstLineChars="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更换的高压发生器须为原厂全新备件，并有可以追溯的序列代码；所更换的备件必保证供货渠道合法合规，维修质量必须符合相关ISO质量管理要求。</w:t>
            </w:r>
          </w:p>
          <w:p w14:paraId="6EC2D910">
            <w:pPr>
              <w:numPr>
                <w:ilvl w:val="0"/>
                <w:numId w:val="1"/>
              </w:numPr>
              <w:ind w:left="425" w:leftChars="0" w:hanging="425" w:firstLineChars="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供应商提供的维修工程师需经过维保设备制造厂家培训考核合格并颁发合格证书(有效期内），并具有符合资质要求工程师5名及以上；供应商每次派工，均需提供统一的维修工单，供采购人留存。</w:t>
            </w:r>
          </w:p>
          <w:p w14:paraId="46977C86">
            <w:pPr>
              <w:numPr>
                <w:ilvl w:val="0"/>
                <w:numId w:val="1"/>
              </w:numPr>
              <w:ind w:left="425" w:leftChars="0" w:hanging="425" w:firstLineChars="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提供免费服务或维修电话，具备 24 小时×7 天服务能力，每天有专人值班服务，同时具备远程设备运行状况监控及软件故障排除能力，持有合法获得、完整、有效的高级故障诊断维修钥匙。现场服务响应时间：≤48小时。</w:t>
            </w:r>
          </w:p>
          <w:p w14:paraId="760125A5">
            <w:pPr>
              <w:numPr>
                <w:ilvl w:val="0"/>
                <w:numId w:val="1"/>
              </w:numPr>
              <w:ind w:left="425" w:leftChars="0" w:hanging="425" w:firstLineChars="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供应商可进行远程支持及监控设备，且有在线专业远程支持工程师，同时为了保证病人影像资料安全，要求提供信息系统安全等级保护备案证明</w:t>
            </w:r>
          </w:p>
          <w:p w14:paraId="4FD1F847">
            <w:pPr>
              <w:numPr>
                <w:ilvl w:val="0"/>
                <w:numId w:val="1"/>
              </w:numPr>
              <w:ind w:left="425" w:leftChars="0" w:hanging="425" w:firstLineChars="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供应商须具有合法进入并合法使用设备全部软件系统的能力，拥有使用系统软件进行精准测试、精准调试设备的权限，提供对原厂工作站的维护维修服务，同时免费提供设备软件的更新升级服务。</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72628">
            <w:pPr>
              <w:widowControl/>
              <w:jc w:val="center"/>
              <w:textAlignment w:val="center"/>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52E21">
            <w:pPr>
              <w:widowControl/>
              <w:jc w:val="center"/>
              <w:textAlignment w:val="center"/>
              <w:rPr>
                <w:rFonts w:hint="eastAsia" w:ascii="仿宋" w:hAnsi="仿宋" w:eastAsia="仿宋" w:cs="仿宋"/>
                <w:color w:val="000000"/>
                <w:sz w:val="28"/>
                <w:szCs w:val="28"/>
                <w:lang w:val="en-US"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61A92">
            <w:pPr>
              <w:widowControl/>
              <w:jc w:val="center"/>
              <w:textAlignment w:val="center"/>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480000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F104C">
            <w:pPr>
              <w:widowControl/>
              <w:jc w:val="center"/>
              <w:textAlignment w:val="center"/>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480000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B358F">
            <w:pPr>
              <w:widowControl/>
              <w:jc w:val="center"/>
              <w:textAlignment w:val="center"/>
              <w:rPr>
                <w:rFonts w:ascii="仿宋" w:hAnsi="仿宋" w:eastAsia="仿宋" w:cs="仿宋"/>
                <w:color w:val="000000"/>
                <w:sz w:val="28"/>
                <w:szCs w:val="28"/>
              </w:rPr>
            </w:pPr>
          </w:p>
        </w:tc>
      </w:tr>
      <w:tr w14:paraId="73597848">
        <w:tblPrEx>
          <w:tblCellMar>
            <w:top w:w="15" w:type="dxa"/>
            <w:left w:w="15" w:type="dxa"/>
            <w:bottom w:w="15" w:type="dxa"/>
            <w:right w:w="15" w:type="dxa"/>
          </w:tblCellMar>
        </w:tblPrEx>
        <w:trPr>
          <w:trHeight w:val="495" w:hRule="atLeast"/>
        </w:trPr>
        <w:tc>
          <w:tcPr>
            <w:tcW w:w="116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456DB8">
            <w:pPr>
              <w:widowControl/>
              <w:jc w:val="center"/>
              <w:textAlignment w:val="center"/>
              <w:rPr>
                <w:rFonts w:hint="eastAsia" w:ascii="仿宋" w:hAnsi="仿宋" w:eastAsia="仿宋" w:cs="仿宋"/>
                <w:color w:val="000000"/>
                <w:sz w:val="28"/>
                <w:szCs w:val="28"/>
                <w:lang w:val="en-US" w:eastAsia="zh-CN"/>
              </w:rPr>
            </w:pPr>
            <w:r>
              <w:rPr>
                <w:rFonts w:hint="eastAsia" w:ascii="仿宋" w:hAnsi="仿宋" w:eastAsia="仿宋" w:cs="仿宋"/>
                <w:color w:val="000000"/>
                <w:kern w:val="0"/>
                <w:sz w:val="28"/>
                <w:szCs w:val="28"/>
              </w:rPr>
              <w:t>合计（大写）：</w:t>
            </w:r>
            <w:r>
              <w:rPr>
                <w:rFonts w:hint="eastAsia" w:ascii="仿宋" w:hAnsi="仿宋" w:eastAsia="仿宋" w:cs="仿宋"/>
                <w:color w:val="000000"/>
                <w:kern w:val="0"/>
                <w:sz w:val="28"/>
                <w:szCs w:val="28"/>
                <w:lang w:val="en-US" w:eastAsia="zh-CN"/>
              </w:rPr>
              <w:t>肆拾捌万</w:t>
            </w:r>
            <w:r>
              <w:rPr>
                <w:rFonts w:hint="eastAsia" w:ascii="仿宋" w:hAnsi="仿宋" w:eastAsia="仿宋" w:cs="仿宋"/>
                <w:color w:val="000000"/>
                <w:kern w:val="0"/>
                <w:sz w:val="28"/>
                <w:szCs w:val="28"/>
              </w:rPr>
              <w:t>元</w:t>
            </w:r>
            <w:r>
              <w:rPr>
                <w:rFonts w:hint="eastAsia" w:ascii="仿宋" w:hAnsi="仿宋" w:eastAsia="仿宋" w:cs="仿宋"/>
                <w:color w:val="000000"/>
                <w:kern w:val="0"/>
                <w:sz w:val="28"/>
                <w:szCs w:val="28"/>
                <w:lang w:val="en-US" w:eastAsia="zh-CN"/>
              </w:rPr>
              <w:t>整</w:t>
            </w:r>
          </w:p>
        </w:tc>
        <w:tc>
          <w:tcPr>
            <w:tcW w:w="45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34510A">
            <w:pPr>
              <w:widowControl/>
              <w:jc w:val="center"/>
              <w:textAlignment w:val="center"/>
              <w:rPr>
                <w:rFonts w:ascii="仿宋" w:hAnsi="仿宋" w:eastAsia="仿宋" w:cs="仿宋"/>
                <w:color w:val="000000"/>
                <w:sz w:val="28"/>
                <w:szCs w:val="28"/>
              </w:rPr>
            </w:pPr>
            <w:r>
              <w:rPr>
                <w:rFonts w:hint="eastAsia" w:ascii="仿宋" w:hAnsi="仿宋" w:eastAsia="仿宋" w:cs="仿宋"/>
                <w:color w:val="000000"/>
                <w:kern w:val="0"/>
                <w:sz w:val="28"/>
                <w:szCs w:val="28"/>
              </w:rPr>
              <w:t>小写：</w:t>
            </w:r>
            <w:r>
              <w:rPr>
                <w:rFonts w:hint="eastAsia" w:ascii="仿宋" w:hAnsi="仿宋" w:eastAsia="仿宋" w:cs="仿宋"/>
                <w:color w:val="000000"/>
                <w:kern w:val="0"/>
                <w:sz w:val="28"/>
                <w:szCs w:val="28"/>
                <w:lang w:val="en-US" w:eastAsia="zh-CN"/>
              </w:rPr>
              <w:t>480000.00</w:t>
            </w:r>
            <w:r>
              <w:rPr>
                <w:rFonts w:hint="eastAsia" w:ascii="仿宋" w:hAnsi="仿宋" w:eastAsia="仿宋" w:cs="仿宋"/>
                <w:color w:val="000000"/>
                <w:kern w:val="0"/>
                <w:sz w:val="28"/>
                <w:szCs w:val="28"/>
              </w:rPr>
              <w:t>元</w:t>
            </w:r>
          </w:p>
        </w:tc>
      </w:tr>
      <w:tr w14:paraId="607515FA">
        <w:tblPrEx>
          <w:tblCellMar>
            <w:top w:w="15" w:type="dxa"/>
            <w:left w:w="15" w:type="dxa"/>
            <w:bottom w:w="15" w:type="dxa"/>
            <w:right w:w="15" w:type="dxa"/>
          </w:tblCellMar>
        </w:tblPrEx>
        <w:trPr>
          <w:trHeight w:val="312" w:hRule="atLeast"/>
        </w:trPr>
        <w:tc>
          <w:tcPr>
            <w:tcW w:w="16185" w:type="dxa"/>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828A7">
            <w:pPr>
              <w:widowControl/>
              <w:ind w:firstLine="720" w:firstLineChars="300"/>
              <w:jc w:val="both"/>
              <w:textAlignment w:val="top"/>
              <w:rPr>
                <w:rFonts w:ascii="仿宋" w:hAnsi="仿宋" w:eastAsia="仿宋" w:cs="仿宋"/>
                <w:color w:val="000000"/>
                <w:kern w:val="0"/>
                <w:sz w:val="24"/>
                <w:szCs w:val="24"/>
              </w:rPr>
            </w:pPr>
            <w:r>
              <w:rPr>
                <w:rFonts w:hint="eastAsia" w:ascii="仿宋" w:hAnsi="仿宋" w:eastAsia="仿宋" w:cs="仿宋"/>
                <w:color w:val="000000"/>
                <w:kern w:val="0"/>
                <w:sz w:val="24"/>
                <w:szCs w:val="24"/>
              </w:rPr>
              <w:t>备注：</w:t>
            </w:r>
          </w:p>
          <w:p w14:paraId="3B6BE92A">
            <w:pPr>
              <w:widowControl/>
              <w:jc w:val="both"/>
              <w:textAlignment w:val="top"/>
              <w:rPr>
                <w:rFonts w:ascii="仿宋" w:hAnsi="仿宋" w:eastAsia="仿宋" w:cs="仿宋"/>
                <w:color w:val="000000"/>
                <w:sz w:val="28"/>
                <w:szCs w:val="28"/>
              </w:rPr>
            </w:pPr>
          </w:p>
        </w:tc>
      </w:tr>
      <w:tr w14:paraId="1C65B95F">
        <w:tblPrEx>
          <w:tblCellMar>
            <w:top w:w="15" w:type="dxa"/>
            <w:left w:w="15" w:type="dxa"/>
            <w:bottom w:w="15" w:type="dxa"/>
            <w:right w:w="15" w:type="dxa"/>
          </w:tblCellMar>
        </w:tblPrEx>
        <w:trPr>
          <w:trHeight w:val="312" w:hRule="atLeast"/>
        </w:trPr>
        <w:tc>
          <w:tcPr>
            <w:tcW w:w="1618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tcPr>
          <w:p w14:paraId="15504E95">
            <w:pPr>
              <w:jc w:val="left"/>
              <w:rPr>
                <w:rFonts w:ascii="仿宋" w:hAnsi="仿宋" w:eastAsia="仿宋" w:cs="仿宋"/>
                <w:color w:val="000000"/>
                <w:sz w:val="28"/>
                <w:szCs w:val="28"/>
              </w:rPr>
            </w:pPr>
          </w:p>
        </w:tc>
      </w:tr>
      <w:tr w14:paraId="0891E271">
        <w:tblPrEx>
          <w:tblCellMar>
            <w:top w:w="15" w:type="dxa"/>
            <w:left w:w="15" w:type="dxa"/>
            <w:bottom w:w="15" w:type="dxa"/>
            <w:right w:w="15" w:type="dxa"/>
          </w:tblCellMar>
        </w:tblPrEx>
        <w:trPr>
          <w:trHeight w:val="312" w:hRule="atLeast"/>
        </w:trPr>
        <w:tc>
          <w:tcPr>
            <w:tcW w:w="1618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tcPr>
          <w:p w14:paraId="208456FE">
            <w:pPr>
              <w:jc w:val="left"/>
              <w:rPr>
                <w:rFonts w:ascii="仿宋" w:hAnsi="仿宋" w:eastAsia="仿宋" w:cs="仿宋"/>
                <w:color w:val="000000"/>
                <w:sz w:val="28"/>
                <w:szCs w:val="28"/>
              </w:rPr>
            </w:pPr>
          </w:p>
        </w:tc>
      </w:tr>
      <w:tr w14:paraId="0665A434">
        <w:tblPrEx>
          <w:tblCellMar>
            <w:top w:w="15" w:type="dxa"/>
            <w:left w:w="15" w:type="dxa"/>
            <w:bottom w:w="15" w:type="dxa"/>
            <w:right w:w="15" w:type="dxa"/>
          </w:tblCellMar>
        </w:tblPrEx>
        <w:trPr>
          <w:trHeight w:val="900" w:hRule="atLeast"/>
        </w:trPr>
        <w:tc>
          <w:tcPr>
            <w:tcW w:w="1618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tcPr>
          <w:p w14:paraId="4335C479">
            <w:pPr>
              <w:jc w:val="left"/>
              <w:rPr>
                <w:rFonts w:ascii="仿宋" w:hAnsi="仿宋" w:eastAsia="仿宋" w:cs="仿宋"/>
                <w:color w:val="000000"/>
                <w:sz w:val="28"/>
                <w:szCs w:val="28"/>
              </w:rPr>
            </w:pPr>
          </w:p>
        </w:tc>
      </w:tr>
      <w:tr w14:paraId="24F566D6">
        <w:tblPrEx>
          <w:tblCellMar>
            <w:top w:w="15" w:type="dxa"/>
            <w:left w:w="15" w:type="dxa"/>
            <w:bottom w:w="15" w:type="dxa"/>
            <w:right w:w="15" w:type="dxa"/>
          </w:tblCellMar>
        </w:tblPrEx>
        <w:trPr>
          <w:trHeight w:val="720" w:hRule="atLeast"/>
        </w:trPr>
        <w:tc>
          <w:tcPr>
            <w:tcW w:w="1618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tcPr>
          <w:p w14:paraId="4FD4B142">
            <w:pPr>
              <w:jc w:val="left"/>
              <w:rPr>
                <w:rFonts w:ascii="仿宋" w:hAnsi="仿宋" w:eastAsia="仿宋" w:cs="仿宋"/>
                <w:color w:val="000000"/>
                <w:sz w:val="28"/>
                <w:szCs w:val="28"/>
              </w:rPr>
            </w:pPr>
          </w:p>
        </w:tc>
      </w:tr>
    </w:tbl>
    <w:p w14:paraId="54295F4B"/>
    <w:p w14:paraId="6866751C"/>
    <w:sectPr>
      <w:pgSz w:w="16838" w:h="11906" w:orient="landscape"/>
      <w:pgMar w:top="283" w:right="283" w:bottom="283" w:left="283"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18506E"/>
    <w:multiLevelType w:val="singleLevel"/>
    <w:tmpl w:val="5218506E"/>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lNTEzZmYwOWVkYTFiM2E4ZDk1ZTNkOWQwOGM0N2IifQ=="/>
  </w:docVars>
  <w:rsids>
    <w:rsidRoot w:val="00561E4A"/>
    <w:rsid w:val="004C0588"/>
    <w:rsid w:val="00561E4A"/>
    <w:rsid w:val="053D5F0D"/>
    <w:rsid w:val="094E52C1"/>
    <w:rsid w:val="0B8C3FE7"/>
    <w:rsid w:val="0FBE2BB4"/>
    <w:rsid w:val="11CE35B2"/>
    <w:rsid w:val="178E643A"/>
    <w:rsid w:val="21D359DA"/>
    <w:rsid w:val="266D4264"/>
    <w:rsid w:val="2A3746F6"/>
    <w:rsid w:val="2E8B4F66"/>
    <w:rsid w:val="2FE259AB"/>
    <w:rsid w:val="342E1F62"/>
    <w:rsid w:val="3D3006C4"/>
    <w:rsid w:val="42D04A9B"/>
    <w:rsid w:val="451B7C86"/>
    <w:rsid w:val="462416FE"/>
    <w:rsid w:val="46386CFB"/>
    <w:rsid w:val="48272AF9"/>
    <w:rsid w:val="579F1339"/>
    <w:rsid w:val="5A5A7673"/>
    <w:rsid w:val="5A73284E"/>
    <w:rsid w:val="671B6774"/>
    <w:rsid w:val="6A601595"/>
    <w:rsid w:val="75D5078C"/>
    <w:rsid w:val="76DB2B7D"/>
    <w:rsid w:val="78F639F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line="576" w:lineRule="auto"/>
      <w:outlineLvl w:val="0"/>
    </w:pPr>
    <w:rPr>
      <w:b/>
      <w:kern w:val="44"/>
      <w:sz w:val="44"/>
    </w:rPr>
  </w:style>
  <w:style w:type="character" w:default="1" w:styleId="9">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MessageHeader"/>
    <w:basedOn w:val="1"/>
    <w:qFormat/>
    <w:uiPriority w:val="0"/>
    <w:pPr>
      <w:pBdr>
        <w:top w:val="single" w:color="000000" w:sz="6" w:space="1"/>
        <w:left w:val="single" w:color="000000" w:sz="6" w:space="1"/>
        <w:bottom w:val="single" w:color="000000" w:sz="6" w:space="1"/>
        <w:right w:val="single" w:color="000000" w:sz="6" w:space="1"/>
      </w:pBdr>
      <w:ind w:left="1080" w:leftChars="500" w:hanging="1080" w:hangingChars="500"/>
      <w:jc w:val="both"/>
      <w:textAlignment w:val="baseline"/>
    </w:pPr>
    <w:rPr>
      <w:rFonts w:ascii="Cambria" w:hAnsi="Cambria"/>
      <w:kern w:val="2"/>
      <w:sz w:val="24"/>
      <w:szCs w:val="24"/>
      <w:lang w:val="en-US" w:eastAsia="zh-CN" w:bidi="ar-SA"/>
    </w:rPr>
  </w:style>
  <w:style w:type="paragraph" w:styleId="4">
    <w:name w:val="Body Text"/>
    <w:basedOn w:val="1"/>
    <w:qFormat/>
    <w:uiPriority w:val="0"/>
    <w:rPr>
      <w:rFonts w:ascii="Calibri" w:hAnsi="Calibri" w:eastAsia="宋体" w:cs="Times New Roman"/>
      <w:sz w:val="18"/>
      <w:szCs w:val="18"/>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paragraph" w:styleId="11">
    <w:name w:val="List Paragraph"/>
    <w:basedOn w:val="1"/>
    <w:qFormat/>
    <w:uiPriority w:val="34"/>
    <w:pPr>
      <w:ind w:firstLine="420" w:firstLineChars="200"/>
    </w:pPr>
    <w:rPr>
      <w:rFonts w:ascii="Calibri" w:hAnsi="Calibri"/>
      <w:szCs w:val="22"/>
    </w:rPr>
  </w:style>
  <w:style w:type="character" w:customStyle="1" w:styleId="12">
    <w:name w:val="font122"/>
    <w:basedOn w:val="9"/>
    <w:qFormat/>
    <w:uiPriority w:val="0"/>
    <w:rPr>
      <w:rFonts w:hint="eastAsia" w:ascii="宋体" w:hAnsi="宋体" w:eastAsia="宋体" w:cs="宋体"/>
      <w:color w:val="000000"/>
      <w:sz w:val="40"/>
      <w:szCs w:val="40"/>
      <w:u w:val="single"/>
    </w:rPr>
  </w:style>
  <w:style w:type="character" w:customStyle="1" w:styleId="13">
    <w:name w:val="font171"/>
    <w:basedOn w:val="9"/>
    <w:qFormat/>
    <w:uiPriority w:val="0"/>
    <w:rPr>
      <w:rFonts w:hint="eastAsia" w:ascii="宋体" w:hAnsi="宋体" w:eastAsia="宋体" w:cs="宋体"/>
      <w:color w:val="000000"/>
      <w:sz w:val="40"/>
      <w:szCs w:val="40"/>
      <w:u w:val="none"/>
    </w:rPr>
  </w:style>
  <w:style w:type="character" w:customStyle="1" w:styleId="14">
    <w:name w:val="页眉 Char"/>
    <w:basedOn w:val="9"/>
    <w:link w:val="6"/>
    <w:qFormat/>
    <w:uiPriority w:val="0"/>
    <w:rPr>
      <w:rFonts w:asciiTheme="minorHAnsi" w:hAnsiTheme="minorHAnsi" w:eastAsiaTheme="minorEastAsia" w:cstheme="minorBidi"/>
      <w:kern w:val="2"/>
      <w:sz w:val="18"/>
      <w:szCs w:val="18"/>
    </w:rPr>
  </w:style>
  <w:style w:type="character" w:customStyle="1" w:styleId="15">
    <w:name w:val="页脚 Char"/>
    <w:basedOn w:val="9"/>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2</Pages>
  <Words>1213</Words>
  <Characters>1328</Characters>
  <Lines>16</Lines>
  <Paragraphs>15</Paragraphs>
  <TotalTime>205</TotalTime>
  <ScaleCrop>false</ScaleCrop>
  <LinksUpToDate>false</LinksUpToDate>
  <CharactersWithSpaces>1344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2024-08-23T09:43:00Z</dcterms:created>
  <dc:creator>kefu</dc:creator>
  <cp:lastModifiedBy>恒谷</cp:lastModifiedBy>
  <cp:lastPrinted>2026-01-05T06:20:46Z</cp:lastPrinted>
  <dcterms:modified xsi:type="dcterms:W3CDTF">2026-01-05T06:22:49Z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9362EE7B334645A3B771F16DE1DA84A4_13</vt:lpwstr>
  </property>
  <property fmtid="{D5CDD505-2E9C-101B-9397-08002B2CF9AE}" pid="4" name="KSOTemplateDocerSaveRecord">
    <vt:lpwstr>eyJoZGlkIjoiZmE0MTBiZDc4OTk3NGM4ZDkyMDJhNTRjOTFkM2RjZTciLCJ1c2VySWQiOiI0NTAzMzgyMTMifQ==</vt:lpwstr>
  </property>
</Properties>
</file>