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13A0E0">
      <w:pPr>
        <w:rPr>
          <w:rFonts w:hint="eastAsia" w:ascii="仿宋" w:hAnsi="仿宋" w:eastAsia="仿宋" w:cs="方正仿宋_GBK"/>
          <w:sz w:val="30"/>
          <w:szCs w:val="30"/>
          <w:lang w:val="en-US" w:eastAsia="zh-CN"/>
        </w:rPr>
      </w:pPr>
      <w:r>
        <w:rPr>
          <w:rFonts w:hint="eastAsia" w:ascii="仿宋" w:hAnsi="仿宋" w:eastAsia="仿宋" w:cs="方正仿宋_GBK"/>
          <w:sz w:val="30"/>
          <w:szCs w:val="30"/>
          <w:lang w:val="en-US" w:eastAsia="zh-CN"/>
        </w:rPr>
        <w:t>附件：</w:t>
      </w:r>
    </w:p>
    <w:p w14:paraId="21194516">
      <w:pPr>
        <w:keepNext w:val="0"/>
        <w:keepLines w:val="0"/>
        <w:pageBreakBefore w:val="0"/>
        <w:kinsoku/>
        <w:wordWrap/>
        <w:overflowPunct/>
        <w:topLinePunct w:val="0"/>
        <w:autoSpaceDE/>
        <w:autoSpaceDN/>
        <w:bidi w:val="0"/>
        <w:adjustRightInd/>
        <w:snapToGrid/>
        <w:spacing w:line="560" w:lineRule="exact"/>
        <w:jc w:val="center"/>
        <w:rPr>
          <w:rFonts w:hint="eastAsia" w:ascii="Times New Roman" w:hAnsi="Times New Roman" w:eastAsia="方正小标宋_GBK" w:cs="Times New Roman"/>
          <w:b w:val="0"/>
          <w:bCs/>
          <w:kern w:val="44"/>
          <w:sz w:val="44"/>
          <w:szCs w:val="44"/>
          <w:lang w:val="en-US" w:eastAsia="zh-CN" w:bidi="ar-SA"/>
        </w:rPr>
      </w:pPr>
      <w:r>
        <w:rPr>
          <w:rFonts w:hint="default" w:ascii="Times New Roman" w:hAnsi="Times New Roman" w:eastAsia="方正小标宋_GBK" w:cs="Times New Roman"/>
          <w:b w:val="0"/>
          <w:bCs/>
          <w:kern w:val="44"/>
          <w:sz w:val="44"/>
          <w:szCs w:val="44"/>
          <w:lang w:val="en-US" w:eastAsia="zh-CN" w:bidi="ar-SA"/>
        </w:rPr>
        <w:t>红河县人民医院</w:t>
      </w:r>
      <w:r>
        <w:rPr>
          <w:rFonts w:hint="eastAsia" w:ascii="Times New Roman" w:hAnsi="Times New Roman" w:eastAsia="方正小标宋_GBK" w:cs="Times New Roman"/>
          <w:b w:val="0"/>
          <w:bCs/>
          <w:kern w:val="44"/>
          <w:sz w:val="44"/>
          <w:szCs w:val="44"/>
          <w:lang w:val="en-US" w:eastAsia="zh-CN" w:bidi="ar-SA"/>
        </w:rPr>
        <w:t>老院区消防维保和建筑消防</w:t>
      </w:r>
      <w:bookmarkStart w:id="0" w:name="_GoBack"/>
      <w:bookmarkEnd w:id="0"/>
      <w:r>
        <w:rPr>
          <w:rFonts w:hint="eastAsia" w:ascii="Times New Roman" w:hAnsi="Times New Roman" w:eastAsia="方正小标宋_GBK" w:cs="Times New Roman"/>
          <w:b w:val="0"/>
          <w:bCs/>
          <w:kern w:val="44"/>
          <w:sz w:val="44"/>
          <w:szCs w:val="44"/>
          <w:lang w:val="en-US" w:eastAsia="zh-CN" w:bidi="ar-SA"/>
        </w:rPr>
        <w:t>设施消防安全检测评价服务</w:t>
      </w:r>
      <w:r>
        <w:rPr>
          <w:rFonts w:hint="default" w:ascii="Times New Roman" w:hAnsi="Times New Roman" w:eastAsia="方正小标宋_GBK" w:cs="Times New Roman"/>
          <w:b w:val="0"/>
          <w:bCs/>
          <w:kern w:val="44"/>
          <w:sz w:val="44"/>
          <w:szCs w:val="44"/>
          <w:lang w:val="en-US" w:eastAsia="zh-CN" w:bidi="ar-SA"/>
        </w:rPr>
        <w:t>项目</w:t>
      </w:r>
      <w:r>
        <w:rPr>
          <w:rFonts w:hint="eastAsia" w:ascii="Times New Roman" w:hAnsi="Times New Roman" w:eastAsia="方正小标宋_GBK" w:cs="Times New Roman"/>
          <w:b w:val="0"/>
          <w:bCs/>
          <w:kern w:val="44"/>
          <w:sz w:val="44"/>
          <w:szCs w:val="44"/>
          <w:lang w:val="en-US" w:eastAsia="zh-CN" w:bidi="ar-SA"/>
        </w:rPr>
        <w:t>投标报价表</w:t>
      </w:r>
    </w:p>
    <w:p w14:paraId="225F52ED">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方正小标宋_GBK" w:cs="Times New Roman"/>
          <w:b w:val="0"/>
          <w:bCs/>
          <w:kern w:val="44"/>
          <w:sz w:val="44"/>
          <w:szCs w:val="44"/>
          <w:lang w:val="en-US" w:eastAsia="zh-CN" w:bidi="ar-SA"/>
        </w:rPr>
      </w:pPr>
    </w:p>
    <w:tbl>
      <w:tblPr>
        <w:tblStyle w:val="3"/>
        <w:tblW w:w="9615" w:type="dxa"/>
        <w:tblInd w:w="-29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95"/>
        <w:gridCol w:w="1815"/>
        <w:gridCol w:w="2115"/>
        <w:gridCol w:w="1140"/>
        <w:gridCol w:w="1246"/>
        <w:gridCol w:w="2204"/>
      </w:tblGrid>
      <w:tr w14:paraId="0CAF0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7" w:hRule="atLeast"/>
        </w:trPr>
        <w:tc>
          <w:tcPr>
            <w:tcW w:w="961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7DB9F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报价：        万/年</w:t>
            </w:r>
          </w:p>
          <w:p w14:paraId="5556D6F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[老院区消防维保]</w:t>
            </w:r>
          </w:p>
          <w:p w14:paraId="4B296206">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both"/>
              <w:textAlignment w:val="auto"/>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服务内容：</w:t>
            </w:r>
            <w:r>
              <w:rPr>
                <w:rFonts w:hint="default" w:ascii="宋体" w:hAnsi="宋体" w:eastAsia="宋体" w:cs="宋体"/>
                <w:i w:val="0"/>
                <w:iCs w:val="0"/>
                <w:color w:val="000000"/>
                <w:kern w:val="0"/>
                <w:sz w:val="22"/>
                <w:szCs w:val="22"/>
                <w:u w:val="none"/>
                <w:lang w:val="en-US" w:eastAsia="zh-CN" w:bidi="ar"/>
              </w:rPr>
              <w:t>1、火灾自动报警系统</w:t>
            </w:r>
            <w:r>
              <w:rPr>
                <w:rFonts w:hint="eastAsia" w:ascii="宋体" w:hAnsi="宋体" w:eastAsia="宋体" w:cs="宋体"/>
                <w:i w:val="0"/>
                <w:iCs w:val="0"/>
                <w:color w:val="000000"/>
                <w:kern w:val="0"/>
                <w:sz w:val="22"/>
                <w:szCs w:val="22"/>
                <w:u w:val="none"/>
                <w:lang w:val="en-US" w:eastAsia="zh-CN" w:bidi="ar"/>
              </w:rPr>
              <w:t>；</w:t>
            </w:r>
            <w:r>
              <w:rPr>
                <w:rFonts w:hint="default" w:ascii="宋体" w:hAnsi="宋体" w:eastAsia="宋体" w:cs="宋体"/>
                <w:i w:val="0"/>
                <w:iCs w:val="0"/>
                <w:color w:val="000000"/>
                <w:kern w:val="0"/>
                <w:sz w:val="22"/>
                <w:szCs w:val="22"/>
                <w:u w:val="none"/>
                <w:lang w:val="en-US" w:eastAsia="zh-CN" w:bidi="ar"/>
              </w:rPr>
              <w:t>2、室内、外消火栓系统</w:t>
            </w:r>
            <w:r>
              <w:rPr>
                <w:rFonts w:hint="eastAsia" w:ascii="宋体" w:hAnsi="宋体" w:eastAsia="宋体" w:cs="宋体"/>
                <w:i w:val="0"/>
                <w:iCs w:val="0"/>
                <w:color w:val="000000"/>
                <w:kern w:val="0"/>
                <w:sz w:val="22"/>
                <w:szCs w:val="22"/>
                <w:u w:val="none"/>
                <w:lang w:val="en-US" w:eastAsia="zh-CN" w:bidi="ar"/>
              </w:rPr>
              <w:t>；</w:t>
            </w:r>
            <w:r>
              <w:rPr>
                <w:rFonts w:hint="default" w:ascii="宋体" w:hAnsi="宋体" w:eastAsia="宋体" w:cs="宋体"/>
                <w:i w:val="0"/>
                <w:iCs w:val="0"/>
                <w:color w:val="000000"/>
                <w:kern w:val="0"/>
                <w:sz w:val="22"/>
                <w:szCs w:val="22"/>
                <w:u w:val="none"/>
                <w:lang w:val="en-US" w:eastAsia="zh-CN" w:bidi="ar"/>
              </w:rPr>
              <w:t>3、自动喷水灭火系统</w:t>
            </w:r>
            <w:r>
              <w:rPr>
                <w:rFonts w:hint="eastAsia" w:ascii="宋体" w:hAnsi="宋体" w:eastAsia="宋体" w:cs="宋体"/>
                <w:i w:val="0"/>
                <w:iCs w:val="0"/>
                <w:color w:val="000000"/>
                <w:kern w:val="0"/>
                <w:sz w:val="22"/>
                <w:szCs w:val="22"/>
                <w:u w:val="none"/>
                <w:lang w:val="en-US" w:eastAsia="zh-CN" w:bidi="ar"/>
              </w:rPr>
              <w:t>；</w:t>
            </w:r>
            <w:r>
              <w:rPr>
                <w:rFonts w:hint="default" w:ascii="宋体" w:hAnsi="宋体" w:eastAsia="宋体" w:cs="宋体"/>
                <w:i w:val="0"/>
                <w:iCs w:val="0"/>
                <w:color w:val="000000"/>
                <w:kern w:val="0"/>
                <w:sz w:val="22"/>
                <w:szCs w:val="22"/>
                <w:u w:val="none"/>
                <w:lang w:val="en-US" w:eastAsia="zh-CN" w:bidi="ar"/>
              </w:rPr>
              <w:t>4、防火门、防火卷帘门系统</w:t>
            </w:r>
            <w:r>
              <w:rPr>
                <w:rFonts w:hint="eastAsia" w:ascii="宋体" w:hAnsi="宋体" w:eastAsia="宋体" w:cs="宋体"/>
                <w:i w:val="0"/>
                <w:iCs w:val="0"/>
                <w:color w:val="000000"/>
                <w:kern w:val="0"/>
                <w:sz w:val="22"/>
                <w:szCs w:val="22"/>
                <w:u w:val="none"/>
                <w:lang w:val="en-US" w:eastAsia="zh-CN" w:bidi="ar"/>
              </w:rPr>
              <w:t>；</w:t>
            </w:r>
            <w:r>
              <w:rPr>
                <w:rFonts w:hint="default" w:ascii="宋体" w:hAnsi="宋体" w:eastAsia="宋体" w:cs="宋体"/>
                <w:i w:val="0"/>
                <w:iCs w:val="0"/>
                <w:color w:val="000000"/>
                <w:kern w:val="0"/>
                <w:sz w:val="22"/>
                <w:szCs w:val="22"/>
                <w:u w:val="none"/>
                <w:lang w:val="en-US" w:eastAsia="zh-CN" w:bidi="ar"/>
              </w:rPr>
              <w:t>5、应急照明和疏散指示系统</w:t>
            </w:r>
            <w:r>
              <w:rPr>
                <w:rFonts w:hint="eastAsia" w:ascii="宋体" w:hAnsi="宋体" w:eastAsia="宋体" w:cs="宋体"/>
                <w:i w:val="0"/>
                <w:iCs w:val="0"/>
                <w:color w:val="000000"/>
                <w:kern w:val="0"/>
                <w:sz w:val="22"/>
                <w:szCs w:val="22"/>
                <w:u w:val="none"/>
                <w:lang w:val="en-US" w:eastAsia="zh-CN" w:bidi="ar"/>
              </w:rPr>
              <w:t>；</w:t>
            </w:r>
            <w:r>
              <w:rPr>
                <w:rFonts w:hint="default" w:ascii="宋体" w:hAnsi="宋体" w:eastAsia="宋体" w:cs="宋体"/>
                <w:i w:val="0"/>
                <w:iCs w:val="0"/>
                <w:color w:val="000000"/>
                <w:kern w:val="0"/>
                <w:sz w:val="22"/>
                <w:szCs w:val="22"/>
                <w:u w:val="none"/>
                <w:lang w:val="en-US" w:eastAsia="zh-CN" w:bidi="ar"/>
              </w:rPr>
              <w:t>6、灭火器</w:t>
            </w:r>
            <w:r>
              <w:rPr>
                <w:rFonts w:hint="eastAsia" w:ascii="宋体" w:hAnsi="宋体" w:eastAsia="宋体" w:cs="宋体"/>
                <w:i w:val="0"/>
                <w:iCs w:val="0"/>
                <w:color w:val="000000"/>
                <w:kern w:val="0"/>
                <w:sz w:val="22"/>
                <w:szCs w:val="22"/>
                <w:u w:val="none"/>
                <w:lang w:val="en-US" w:eastAsia="zh-CN" w:bidi="ar"/>
              </w:rPr>
              <w:t>（瓶体是否有损坏，是否欠压，是否过期，配置是否合理）。</w:t>
            </w:r>
          </w:p>
          <w:p w14:paraId="41EC6FAF">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both"/>
              <w:textAlignment w:val="auto"/>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按国家的法规和技术规范的要求，编制的维护保养内容和实施方案，按要求进行月、季、年度的维护保养工作。</w:t>
            </w:r>
          </w:p>
          <w:p w14:paraId="1B9F8B1A">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both"/>
              <w:textAlignment w:val="auto"/>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供应商对消防设施进行维护及保养工作时，如发现部分部件正常损坏或需要更换时，配件单价三百元及以下由供应商免费更换、配件单价三百元以上院方自行承担费用若供应商提供的配件单价高于市场价，则院方有权选择其他配件厂商。</w:t>
            </w:r>
          </w:p>
          <w:p w14:paraId="4030087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[老院区</w:t>
            </w:r>
            <w:r>
              <w:rPr>
                <w:rFonts w:hint="eastAsia" w:ascii="宋体" w:hAnsi="宋体" w:eastAsia="宋体" w:cs="宋体"/>
                <w:i w:val="0"/>
                <w:iCs w:val="0"/>
                <w:color w:val="000000"/>
                <w:kern w:val="0"/>
                <w:sz w:val="22"/>
                <w:szCs w:val="22"/>
                <w:u w:val="none"/>
                <w:lang w:val="en-US" w:eastAsia="zh-CN" w:bidi="ar"/>
              </w:rPr>
              <w:t>建筑消防设施消防安全检测评价</w:t>
            </w:r>
            <w:r>
              <w:rPr>
                <w:rFonts w:hint="eastAsia" w:ascii="宋体" w:hAnsi="宋体" w:eastAsia="宋体" w:cs="宋体"/>
                <w:i w:val="0"/>
                <w:iCs w:val="0"/>
                <w:color w:val="000000"/>
                <w:sz w:val="22"/>
                <w:szCs w:val="22"/>
                <w:u w:val="none"/>
                <w:lang w:val="en-US" w:eastAsia="zh-CN"/>
              </w:rPr>
              <w:t>]</w:t>
            </w:r>
          </w:p>
          <w:p w14:paraId="2AA6191A">
            <w:pPr>
              <w:keepNext w:val="0"/>
              <w:keepLines w:val="0"/>
              <w:pageBreakBefore w:val="0"/>
              <w:widowControl/>
              <w:suppressLineNumbers w:val="0"/>
              <w:kinsoku/>
              <w:wordWrap/>
              <w:overflowPunct/>
              <w:topLinePunct w:val="0"/>
              <w:autoSpaceDE/>
              <w:autoSpaceDN/>
              <w:bidi w:val="0"/>
              <w:adjustRightInd/>
              <w:snapToGrid/>
              <w:spacing w:line="560" w:lineRule="exact"/>
              <w:ind w:firstLine="440" w:firstLineChars="200"/>
              <w:jc w:val="both"/>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服务内容：老院区所有建筑消防设施安全评价检测。</w:t>
            </w:r>
          </w:p>
          <w:p w14:paraId="6F571E3E">
            <w:pPr>
              <w:keepNext w:val="0"/>
              <w:keepLines w:val="0"/>
              <w:pageBreakBefore w:val="0"/>
              <w:widowControl/>
              <w:suppressLineNumbers w:val="0"/>
              <w:kinsoku/>
              <w:wordWrap/>
              <w:overflowPunct/>
              <w:topLinePunct w:val="0"/>
              <w:autoSpaceDE/>
              <w:autoSpaceDN/>
              <w:bidi w:val="0"/>
              <w:adjustRightInd/>
              <w:snapToGrid/>
              <w:spacing w:line="560" w:lineRule="exact"/>
              <w:ind w:firstLine="440" w:firstLineChars="200"/>
              <w:jc w:val="both"/>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检测类别：年检。</w:t>
            </w:r>
          </w:p>
          <w:p w14:paraId="7E522EBB">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both"/>
              <w:textAlignment w:val="auto"/>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检测项目：包括但不限于，消防给水系统，消火栓系统，自动喷水灭火系统 ，火灾自动报警系统，防排烟系统，灭火器，消防电源，应急照明和疏散指示，防火门和防火卷帘。</w:t>
            </w:r>
          </w:p>
        </w:tc>
      </w:tr>
      <w:tr w14:paraId="6E7B5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961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5BC70A6">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 xml:space="preserve">                                           </w:t>
            </w:r>
          </w:p>
          <w:p w14:paraId="49329384">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 xml:space="preserve">                  公司名称（盖章）：</w:t>
            </w:r>
          </w:p>
        </w:tc>
      </w:tr>
      <w:tr w14:paraId="3013D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trPr>
        <w:tc>
          <w:tcPr>
            <w:tcW w:w="961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510FEC">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 xml:space="preserve">                          </w:t>
            </w:r>
          </w:p>
          <w:p w14:paraId="502F5D53">
            <w:pPr>
              <w:keepNext w:val="0"/>
              <w:keepLines w:val="0"/>
              <w:pageBreakBefore w:val="0"/>
              <w:kinsoku/>
              <w:wordWrap/>
              <w:overflowPunct/>
              <w:topLinePunct w:val="0"/>
              <w:autoSpaceDE/>
              <w:autoSpaceDN/>
              <w:bidi w:val="0"/>
              <w:adjustRightInd/>
              <w:snapToGrid/>
              <w:spacing w:line="560" w:lineRule="exact"/>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 xml:space="preserve">            日   期：</w:t>
            </w:r>
          </w:p>
        </w:tc>
      </w:tr>
      <w:tr w14:paraId="1A0D9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95" w:type="dxa"/>
            <w:tcBorders>
              <w:top w:val="nil"/>
              <w:left w:val="nil"/>
              <w:bottom w:val="nil"/>
              <w:right w:val="nil"/>
            </w:tcBorders>
            <w:shd w:val="clear" w:color="auto" w:fill="auto"/>
            <w:noWrap/>
            <w:vAlign w:val="bottom"/>
          </w:tcPr>
          <w:p w14:paraId="404C7816">
            <w:pPr>
              <w:rPr>
                <w:rFonts w:hint="eastAsia" w:ascii="宋体" w:hAnsi="宋体" w:eastAsia="宋体" w:cs="宋体"/>
                <w:i w:val="0"/>
                <w:iCs w:val="0"/>
                <w:color w:val="000000"/>
                <w:sz w:val="22"/>
                <w:szCs w:val="22"/>
                <w:u w:val="none"/>
              </w:rPr>
            </w:pPr>
          </w:p>
        </w:tc>
        <w:tc>
          <w:tcPr>
            <w:tcW w:w="1815" w:type="dxa"/>
            <w:tcBorders>
              <w:top w:val="nil"/>
              <w:left w:val="nil"/>
              <w:bottom w:val="nil"/>
              <w:right w:val="nil"/>
            </w:tcBorders>
            <w:shd w:val="clear" w:color="auto" w:fill="auto"/>
            <w:noWrap/>
            <w:vAlign w:val="bottom"/>
          </w:tcPr>
          <w:p w14:paraId="59C49AAB">
            <w:pPr>
              <w:rPr>
                <w:rFonts w:hint="eastAsia" w:ascii="宋体" w:hAnsi="宋体" w:eastAsia="宋体" w:cs="宋体"/>
                <w:i w:val="0"/>
                <w:iCs w:val="0"/>
                <w:color w:val="000000"/>
                <w:sz w:val="22"/>
                <w:szCs w:val="22"/>
                <w:u w:val="none"/>
              </w:rPr>
            </w:pPr>
          </w:p>
        </w:tc>
        <w:tc>
          <w:tcPr>
            <w:tcW w:w="2115" w:type="dxa"/>
            <w:tcBorders>
              <w:top w:val="nil"/>
              <w:left w:val="nil"/>
              <w:bottom w:val="nil"/>
              <w:right w:val="nil"/>
            </w:tcBorders>
            <w:shd w:val="clear" w:color="auto" w:fill="auto"/>
            <w:noWrap/>
            <w:vAlign w:val="bottom"/>
          </w:tcPr>
          <w:p w14:paraId="3375311C">
            <w:pPr>
              <w:rPr>
                <w:rFonts w:hint="eastAsia" w:ascii="宋体" w:hAnsi="宋体" w:eastAsia="宋体" w:cs="宋体"/>
                <w:i w:val="0"/>
                <w:iCs w:val="0"/>
                <w:color w:val="000000"/>
                <w:sz w:val="22"/>
                <w:szCs w:val="22"/>
                <w:u w:val="none"/>
              </w:rPr>
            </w:pPr>
          </w:p>
        </w:tc>
        <w:tc>
          <w:tcPr>
            <w:tcW w:w="1140" w:type="dxa"/>
            <w:tcBorders>
              <w:top w:val="nil"/>
              <w:left w:val="nil"/>
              <w:bottom w:val="nil"/>
              <w:right w:val="nil"/>
            </w:tcBorders>
            <w:shd w:val="clear" w:color="auto" w:fill="auto"/>
            <w:noWrap/>
            <w:vAlign w:val="bottom"/>
          </w:tcPr>
          <w:p w14:paraId="07DAC1F2">
            <w:pPr>
              <w:rPr>
                <w:rFonts w:hint="eastAsia" w:ascii="宋体" w:hAnsi="宋体" w:eastAsia="宋体" w:cs="宋体"/>
                <w:i w:val="0"/>
                <w:iCs w:val="0"/>
                <w:color w:val="000000"/>
                <w:sz w:val="22"/>
                <w:szCs w:val="22"/>
                <w:u w:val="none"/>
              </w:rPr>
            </w:pPr>
          </w:p>
        </w:tc>
        <w:tc>
          <w:tcPr>
            <w:tcW w:w="1246" w:type="dxa"/>
            <w:tcBorders>
              <w:top w:val="nil"/>
              <w:left w:val="nil"/>
              <w:bottom w:val="nil"/>
              <w:right w:val="nil"/>
            </w:tcBorders>
            <w:shd w:val="clear" w:color="auto" w:fill="auto"/>
            <w:noWrap/>
            <w:vAlign w:val="bottom"/>
          </w:tcPr>
          <w:p w14:paraId="50BAC690">
            <w:pPr>
              <w:rPr>
                <w:rFonts w:hint="eastAsia" w:ascii="宋体" w:hAnsi="宋体" w:eastAsia="宋体" w:cs="宋体"/>
                <w:i w:val="0"/>
                <w:iCs w:val="0"/>
                <w:color w:val="000000"/>
                <w:sz w:val="22"/>
                <w:szCs w:val="22"/>
                <w:u w:val="none"/>
              </w:rPr>
            </w:pPr>
          </w:p>
        </w:tc>
        <w:tc>
          <w:tcPr>
            <w:tcW w:w="2204" w:type="dxa"/>
            <w:tcBorders>
              <w:top w:val="nil"/>
              <w:left w:val="nil"/>
              <w:bottom w:val="nil"/>
              <w:right w:val="nil"/>
            </w:tcBorders>
            <w:shd w:val="clear" w:color="auto" w:fill="auto"/>
            <w:noWrap/>
            <w:vAlign w:val="bottom"/>
          </w:tcPr>
          <w:p w14:paraId="16105AA0">
            <w:pPr>
              <w:rPr>
                <w:rFonts w:hint="eastAsia" w:ascii="宋体" w:hAnsi="宋体" w:eastAsia="宋体" w:cs="宋体"/>
                <w:i w:val="0"/>
                <w:iCs w:val="0"/>
                <w:color w:val="000000"/>
                <w:sz w:val="22"/>
                <w:szCs w:val="22"/>
                <w:u w:val="none"/>
              </w:rPr>
            </w:pPr>
          </w:p>
        </w:tc>
      </w:tr>
      <w:tr w14:paraId="0E6FB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95" w:type="dxa"/>
            <w:tcBorders>
              <w:top w:val="nil"/>
              <w:left w:val="nil"/>
              <w:bottom w:val="nil"/>
              <w:right w:val="nil"/>
            </w:tcBorders>
            <w:shd w:val="clear" w:color="auto" w:fill="auto"/>
            <w:noWrap/>
            <w:vAlign w:val="bottom"/>
          </w:tcPr>
          <w:p w14:paraId="3DCE9A33">
            <w:pPr>
              <w:rPr>
                <w:rFonts w:hint="eastAsia" w:ascii="宋体" w:hAnsi="宋体" w:eastAsia="宋体" w:cs="宋体"/>
                <w:i w:val="0"/>
                <w:iCs w:val="0"/>
                <w:color w:val="000000"/>
                <w:sz w:val="22"/>
                <w:szCs w:val="22"/>
                <w:u w:val="none"/>
              </w:rPr>
            </w:pPr>
          </w:p>
        </w:tc>
        <w:tc>
          <w:tcPr>
            <w:tcW w:w="1815" w:type="dxa"/>
            <w:tcBorders>
              <w:top w:val="nil"/>
              <w:left w:val="nil"/>
              <w:bottom w:val="nil"/>
              <w:right w:val="nil"/>
            </w:tcBorders>
            <w:shd w:val="clear" w:color="auto" w:fill="auto"/>
            <w:noWrap/>
            <w:vAlign w:val="bottom"/>
          </w:tcPr>
          <w:p w14:paraId="2FDA1A1A">
            <w:pPr>
              <w:rPr>
                <w:rFonts w:hint="eastAsia" w:ascii="宋体" w:hAnsi="宋体" w:eastAsia="宋体" w:cs="宋体"/>
                <w:i w:val="0"/>
                <w:iCs w:val="0"/>
                <w:color w:val="000000"/>
                <w:sz w:val="22"/>
                <w:szCs w:val="22"/>
                <w:u w:val="none"/>
              </w:rPr>
            </w:pPr>
          </w:p>
        </w:tc>
        <w:tc>
          <w:tcPr>
            <w:tcW w:w="2115" w:type="dxa"/>
            <w:tcBorders>
              <w:top w:val="nil"/>
              <w:left w:val="nil"/>
              <w:bottom w:val="nil"/>
              <w:right w:val="nil"/>
            </w:tcBorders>
            <w:shd w:val="clear" w:color="auto" w:fill="auto"/>
            <w:noWrap/>
            <w:vAlign w:val="bottom"/>
          </w:tcPr>
          <w:p w14:paraId="77F3D15A">
            <w:pPr>
              <w:rPr>
                <w:rFonts w:hint="eastAsia" w:ascii="宋体" w:hAnsi="宋体" w:eastAsia="宋体" w:cs="宋体"/>
                <w:i w:val="0"/>
                <w:iCs w:val="0"/>
                <w:color w:val="000000"/>
                <w:sz w:val="22"/>
                <w:szCs w:val="22"/>
                <w:u w:val="none"/>
              </w:rPr>
            </w:pPr>
          </w:p>
        </w:tc>
        <w:tc>
          <w:tcPr>
            <w:tcW w:w="1140" w:type="dxa"/>
            <w:tcBorders>
              <w:top w:val="nil"/>
              <w:left w:val="nil"/>
              <w:bottom w:val="nil"/>
              <w:right w:val="nil"/>
            </w:tcBorders>
            <w:shd w:val="clear" w:color="auto" w:fill="auto"/>
            <w:noWrap/>
            <w:vAlign w:val="bottom"/>
          </w:tcPr>
          <w:p w14:paraId="6D550CF6">
            <w:pPr>
              <w:rPr>
                <w:rFonts w:hint="eastAsia" w:ascii="宋体" w:hAnsi="宋体" w:eastAsia="宋体" w:cs="宋体"/>
                <w:i w:val="0"/>
                <w:iCs w:val="0"/>
                <w:color w:val="000000"/>
                <w:sz w:val="22"/>
                <w:szCs w:val="22"/>
                <w:u w:val="none"/>
              </w:rPr>
            </w:pPr>
          </w:p>
        </w:tc>
        <w:tc>
          <w:tcPr>
            <w:tcW w:w="1246" w:type="dxa"/>
            <w:tcBorders>
              <w:top w:val="nil"/>
              <w:left w:val="nil"/>
              <w:bottom w:val="nil"/>
              <w:right w:val="nil"/>
            </w:tcBorders>
            <w:shd w:val="clear" w:color="auto" w:fill="auto"/>
            <w:noWrap/>
            <w:vAlign w:val="bottom"/>
          </w:tcPr>
          <w:p w14:paraId="281A6B29">
            <w:pPr>
              <w:rPr>
                <w:rFonts w:hint="eastAsia" w:ascii="宋体" w:hAnsi="宋体" w:eastAsia="宋体" w:cs="宋体"/>
                <w:i w:val="0"/>
                <w:iCs w:val="0"/>
                <w:color w:val="000000"/>
                <w:sz w:val="22"/>
                <w:szCs w:val="22"/>
                <w:u w:val="none"/>
              </w:rPr>
            </w:pPr>
          </w:p>
        </w:tc>
        <w:tc>
          <w:tcPr>
            <w:tcW w:w="2204" w:type="dxa"/>
            <w:tcBorders>
              <w:top w:val="nil"/>
              <w:left w:val="nil"/>
              <w:bottom w:val="nil"/>
              <w:right w:val="nil"/>
            </w:tcBorders>
            <w:shd w:val="clear" w:color="auto" w:fill="auto"/>
            <w:noWrap/>
            <w:vAlign w:val="bottom"/>
          </w:tcPr>
          <w:p w14:paraId="6BB6FA48">
            <w:pPr>
              <w:rPr>
                <w:rFonts w:hint="eastAsia" w:ascii="宋体" w:hAnsi="宋体" w:eastAsia="宋体" w:cs="宋体"/>
                <w:i w:val="0"/>
                <w:iCs w:val="0"/>
                <w:color w:val="000000"/>
                <w:sz w:val="22"/>
                <w:szCs w:val="22"/>
                <w:u w:val="none"/>
              </w:rPr>
            </w:pPr>
          </w:p>
        </w:tc>
      </w:tr>
    </w:tbl>
    <w:p w14:paraId="0C7AA107">
      <w:pPr>
        <w:pStyle w:val="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560" w:lineRule="exact"/>
        <w:ind w:right="0" w:rightChars="0"/>
        <w:jc w:val="both"/>
        <w:rPr>
          <w:rStyle w:val="5"/>
          <w:rFonts w:hint="default" w:ascii="Times New Roman" w:hAnsi="Times New Roman" w:eastAsia="方正仿宋_GBK" w:cs="Times New Roman"/>
          <w:b w:val="0"/>
          <w:bCs w:val="0"/>
          <w:i w:val="0"/>
          <w:iCs w:val="0"/>
          <w:caps w:val="0"/>
          <w:color w:val="auto"/>
          <w:spacing w:val="0"/>
          <w:kern w:val="56"/>
          <w:sz w:val="32"/>
          <w:szCs w:val="32"/>
          <w:shd w:val="clear" w:fill="FFFFFF"/>
          <w:lang w:val="en-US" w:eastAsia="zh-CN"/>
        </w:rPr>
      </w:pPr>
    </w:p>
    <w:p w14:paraId="207343A1"/>
    <w:sectPr>
      <w:pgSz w:w="11906" w:h="16838"/>
      <w:pgMar w:top="2211"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3000509000000000000"/>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011A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2025-03-21T10:23:45Z</dcterms:created>
  <dc:creator>MacBook Air</dc:creator>
  <cp:lastModifiedBy>庞晋伟</cp:lastModifiedBy>
  <dcterms:modified xsi:type="dcterms:W3CDTF">2025-03-21T10:23:56Z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eyJoZGlkIjoiZTA4NzIyN2MxYTlmMzQ1NGE2MjU5NWRkMjhlOGMxYTAiLCJ1c2VySWQiOiI1ODUwNjMyMjMifQ==</vt:lpwstr>
  </property>
  <property fmtid="{D5CDD505-2E9C-101B-9397-08002B2CF9AE}" pid="4" name="ICV">
    <vt:lpwstr>24AF3FAC34DB4C539BDB4F1AB03ED064_12</vt:lpwstr>
  </property>
</Properties>
</file>