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6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15"/>
        <w:gridCol w:w="726"/>
        <w:gridCol w:w="10268"/>
        <w:gridCol w:w="691"/>
        <w:gridCol w:w="705"/>
        <w:gridCol w:w="1080"/>
        <w:gridCol w:w="1215"/>
        <w:gridCol w:w="885"/>
      </w:tblGrid>
      <w:tr w14:paraId="628D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jc w:val="center"/>
        </w:trPr>
        <w:tc>
          <w:tcPr>
            <w:tcW w:w="16185" w:type="dxa"/>
            <w:gridSpan w:val="8"/>
            <w:shd w:val="clear" w:color="auto" w:fill="auto"/>
            <w:vAlign w:val="center"/>
          </w:tcPr>
          <w:p w14:paraId="72CA4DFE">
            <w:pPr>
              <w:keepNext w:val="0"/>
              <w:keepLines w:val="0"/>
              <w:widowControl/>
              <w:suppressLineNumbers w:val="0"/>
              <w:jc w:val="center"/>
              <w:textAlignment w:val="center"/>
              <w:rPr>
                <w:rFonts w:hint="eastAsia" w:ascii="宋体" w:hAnsi="宋体" w:eastAsia="宋体" w:cs="宋体"/>
                <w:i w:val="0"/>
                <w:color w:val="000000"/>
                <w:sz w:val="40"/>
                <w:szCs w:val="40"/>
                <w:u w:val="none"/>
              </w:rPr>
            </w:pPr>
            <w:r>
              <w:rPr>
                <w:rStyle w:val="8"/>
                <w:rFonts w:hint="eastAsia" w:ascii="宋体" w:hAnsi="宋体" w:eastAsia="宋体" w:cs="宋体"/>
                <w:b/>
                <w:bCs/>
                <w:sz w:val="36"/>
                <w:szCs w:val="36"/>
                <w:u w:val="none"/>
                <w:lang w:val="en-US" w:eastAsia="zh-CN" w:bidi="ar"/>
              </w:rPr>
              <w:t>红河县紧密型县域医疗卫生共同体</w:t>
            </w:r>
            <w:r>
              <w:rPr>
                <w:rStyle w:val="8"/>
                <w:rFonts w:hint="eastAsia" w:ascii="宋体" w:hAnsi="宋体" w:eastAsia="宋体" w:cs="宋体"/>
                <w:b/>
                <w:bCs/>
                <w:sz w:val="36"/>
                <w:szCs w:val="36"/>
                <w:u w:val="single"/>
                <w:lang w:val="en-US" w:eastAsia="zh-CN" w:bidi="ar"/>
              </w:rPr>
              <w:t>阿扎河中心卫生院基层标准化慢性病诊疗专科设备采购</w:t>
            </w:r>
            <w:r>
              <w:rPr>
                <w:rStyle w:val="8"/>
                <w:rFonts w:hint="eastAsia" w:ascii="宋体" w:hAnsi="宋体" w:eastAsia="宋体" w:cs="宋体"/>
                <w:b/>
                <w:bCs/>
                <w:sz w:val="36"/>
                <w:szCs w:val="36"/>
                <w:u w:val="none"/>
                <w:lang w:val="en-US" w:eastAsia="zh-CN" w:bidi="ar"/>
              </w:rPr>
              <w:t>报价表表</w:t>
            </w:r>
          </w:p>
        </w:tc>
      </w:tr>
      <w:tr w14:paraId="68EC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47FB">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A9E4">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物资名称</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04E3">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技术参数及要求</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E208">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top"/>
          </w:tcPr>
          <w:p w14:paraId="00B779B7">
            <w:pPr>
              <w:keepNext w:val="0"/>
              <w:keepLines w:val="0"/>
              <w:widowControl/>
              <w:suppressLineNumbers w:val="0"/>
              <w:jc w:val="center"/>
              <w:textAlignment w:val="top"/>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计量单位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7CF0">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最高限价单价（元）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F4944">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报价总价（元）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F4E7">
            <w:pPr>
              <w:keepNext w:val="0"/>
              <w:keepLines w:val="0"/>
              <w:widowControl/>
              <w:suppressLineNumbers w:val="0"/>
              <w:jc w:val="center"/>
              <w:textAlignment w:val="center"/>
              <w:rPr>
                <w:rFonts w:hint="eastAsia" w:ascii="宋体" w:hAnsi="宋体" w:eastAsia="宋体" w:cs="宋体"/>
                <w:b/>
                <w:bCs/>
                <w:i w:val="0"/>
                <w:color w:val="000000"/>
                <w:sz w:val="32"/>
                <w:szCs w:val="32"/>
                <w:u w:val="single"/>
              </w:rPr>
            </w:pPr>
            <w:r>
              <w:rPr>
                <w:rFonts w:hint="eastAsia" w:ascii="宋体" w:hAnsi="宋体" w:eastAsia="宋体" w:cs="宋体"/>
                <w:b/>
                <w:bCs/>
                <w:i w:val="0"/>
                <w:color w:val="000000"/>
                <w:kern w:val="0"/>
                <w:sz w:val="24"/>
                <w:szCs w:val="24"/>
                <w:u w:val="none"/>
                <w:lang w:val="en-US" w:eastAsia="zh-CN" w:bidi="ar"/>
              </w:rPr>
              <w:t>备注</w:t>
            </w:r>
          </w:p>
        </w:tc>
      </w:tr>
      <w:tr w14:paraId="69BB3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46"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66D6">
            <w:pPr>
              <w:keepNext w:val="0"/>
              <w:keepLines w:val="0"/>
              <w:widowControl/>
              <w:suppressLineNumbers w:val="0"/>
              <w:jc w:val="center"/>
              <w:textAlignment w:val="center"/>
              <w:rPr>
                <w:rFonts w:hint="eastAsia"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0915">
            <w:pPr>
              <w:keepNext w:val="0"/>
              <w:keepLines w:val="0"/>
              <w:widowControl/>
              <w:suppressLineNumbers w:val="0"/>
              <w:jc w:val="center"/>
              <w:textAlignment w:val="center"/>
              <w:rPr>
                <w:rFonts w:hint="default" w:ascii="仿宋" w:hAnsi="仿宋" w:eastAsia="仿宋" w:cs="仿宋"/>
                <w:b/>
                <w:bCs/>
                <w:i w:val="0"/>
                <w:color w:val="000000"/>
                <w:kern w:val="2"/>
                <w:sz w:val="24"/>
                <w:szCs w:val="24"/>
                <w:u w:val="none"/>
                <w:lang w:val="en-US" w:eastAsia="zh-CN" w:bidi="ar-SA"/>
              </w:rPr>
            </w:pPr>
            <w:r>
              <w:rPr>
                <w:rFonts w:hint="eastAsia" w:ascii="仿宋" w:hAnsi="仿宋" w:eastAsia="仿宋" w:cs="仿宋"/>
                <w:color w:val="000000"/>
                <w:kern w:val="0"/>
                <w:sz w:val="24"/>
                <w:szCs w:val="24"/>
                <w:lang w:val="en-US" w:eastAsia="zh-CN" w:bidi="ar"/>
              </w:rPr>
              <w:t>便携式全自动多功能检测仪</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top"/>
          </w:tcPr>
          <w:p w14:paraId="7F23164D">
            <w:pPr>
              <w:keepNext w:val="0"/>
              <w:keepLines w:val="0"/>
              <w:widowControl/>
              <w:suppressLineNumbers w:val="0"/>
              <w:jc w:val="left"/>
            </w:pPr>
            <w:r>
              <w:rPr>
                <w:rFonts w:ascii="仿宋" w:hAnsi="仿宋" w:eastAsia="仿宋" w:cs="仿宋"/>
                <w:b/>
                <w:bCs/>
                <w:color w:val="000000"/>
                <w:kern w:val="0"/>
                <w:sz w:val="24"/>
                <w:szCs w:val="24"/>
                <w:lang w:val="en-US" w:eastAsia="zh-CN" w:bidi="ar"/>
              </w:rPr>
              <w:t xml:space="preserve">技术参数： </w:t>
            </w:r>
          </w:p>
          <w:p w14:paraId="362822FA">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1、检测标本：全血、血浆、血清或者尿液； </w:t>
            </w:r>
          </w:p>
          <w:p w14:paraId="1CA0BD7C">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2、样本量：15-400 μl； </w:t>
            </w:r>
          </w:p>
          <w:p w14:paraId="483399BD">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3、条码识读：二维条码自动读取； </w:t>
            </w:r>
          </w:p>
          <w:p w14:paraId="2F505AF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4、检测时间：5-15 分钟/样本； </w:t>
            </w:r>
          </w:p>
          <w:p w14:paraId="55AF946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5、检测系统：透射系统：在最大吸光度不小于 2.0 时，线性相关系数 R≥0.995； </w:t>
            </w:r>
          </w:p>
          <w:p w14:paraId="1C8423B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6、分析方法：终点法、速率法、酶法、酶动力法、凝固法、胶乳免疫比浊法； </w:t>
            </w:r>
          </w:p>
          <w:p w14:paraId="7C3F8BD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7、WIFI：执行 IEEE 802.11a/b/g/n/ac 标准； </w:t>
            </w:r>
          </w:p>
          <w:p w14:paraId="3973A6E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8、蓝牙：双模，版本 5.0； </w:t>
            </w:r>
          </w:p>
          <w:p w14:paraId="510A378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9、4G：支持 TDD-LTE 频段，遵循 LTE Gate4 4G 通信协议； </w:t>
            </w:r>
          </w:p>
          <w:p w14:paraId="788CFAD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10、LAN：基于 RS232（TIA/EIA-232-F）、网口（IEEE802.3）； </w:t>
            </w:r>
          </w:p>
          <w:p w14:paraId="697A6A7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11、温控精度：37±0.5℃； </w:t>
            </w:r>
          </w:p>
          <w:p w14:paraId="55410E6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12、检测波长：340nm，405nm，455nm，505nm，546nm，578nm，630nm，635nm，660nm，700nm 等； </w:t>
            </w:r>
          </w:p>
          <w:p w14:paraId="28F2BA66">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13、检测仪外形尺寸：445.0mm×293.0mm×308.6mm（长 x 宽 x 高）； </w:t>
            </w:r>
          </w:p>
          <w:p w14:paraId="26463F6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14、数据存储量 </w:t>
            </w:r>
          </w:p>
          <w:p w14:paraId="1C0F221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检测结果 80000 组，质控结果 10000 组； </w:t>
            </w:r>
          </w:p>
          <w:p w14:paraId="17117C3E">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15、数据接口：2 个 USB，1 个 LAN 网口，1 个 RS232； </w:t>
            </w:r>
          </w:p>
          <w:p w14:paraId="520A5C7E">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16、工作环境：温度：15℃～30℃、湿度：25%～85%； </w:t>
            </w:r>
          </w:p>
          <w:p w14:paraId="07592F24">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17、单机测量通道：2 个独立通道； </w:t>
            </w:r>
          </w:p>
          <w:p w14:paraId="321C6D52">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18、质控图：仪器自动生成质控图谱； </w:t>
            </w:r>
          </w:p>
          <w:p w14:paraId="22EE1B99">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19、加样方式：一次性 TIP 头加样； </w:t>
            </w:r>
          </w:p>
          <w:p w14:paraId="7B456EF3">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20、检测指标：25 张试剂卡、56 个检测指标； </w:t>
            </w:r>
          </w:p>
          <w:p w14:paraId="323ADD8F">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21、试剂形态：液相试剂； </w:t>
            </w:r>
          </w:p>
          <w:p w14:paraId="338189D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22、语言：全中文显示； </w:t>
            </w:r>
          </w:p>
          <w:p w14:paraId="172E017C">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23、重量：单台检测仪净重：&lt; 15kg； </w:t>
            </w:r>
          </w:p>
          <w:p w14:paraId="384ED9F2">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24、显示方式：10.4 寸触摸屏，1024*768 像素； </w:t>
            </w:r>
          </w:p>
          <w:p w14:paraId="06F7E076">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25、噪声：≤65dBA； </w:t>
            </w:r>
          </w:p>
          <w:p w14:paraId="731955CC">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26、检测仪输入 </w:t>
            </w:r>
          </w:p>
          <w:p w14:paraId="6C77A87E">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单台检测仪输入：~220 V，50 Hz，1.2A； </w:t>
            </w:r>
          </w:p>
          <w:p w14:paraId="1AE98C34">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27、打印机：内置热敏打印机； </w:t>
            </w:r>
          </w:p>
          <w:p w14:paraId="75A08F16">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28、其他：无需上、下水等特殊安装，无试剂盒外其他一次性耗材； </w:t>
            </w:r>
          </w:p>
          <w:p w14:paraId="6A1950D1">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29、医院系统对接：可无缝对接医院 HIS、LIS 系统； </w:t>
            </w:r>
          </w:p>
          <w:p w14:paraId="4756406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30、辅助系统：配套 iPOCT 系统，数据通过无线/有线方式上传到系统； </w:t>
            </w:r>
          </w:p>
          <w:p w14:paraId="23218E9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31、检测仪使用期限：10 年；本产品使用期限是根据关键部件的使用期限确定的，在使用过程中，用户应当按照产品说明书的要求对产品进行维护、保养。在维护、保养后，经确认仍能保持基本安全性和有效性的产品，可以正常使用。</w:t>
            </w:r>
          </w:p>
          <w:p w14:paraId="5E994B3F">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检测要求：</w:t>
            </w:r>
          </w:p>
          <w:tbl>
            <w:tblPr>
              <w:tblStyle w:val="6"/>
              <w:tblpPr w:leftFromText="180" w:rightFromText="180" w:vertAnchor="text" w:horzAnchor="page" w:tblpX="1" w:tblpY="310"/>
              <w:tblOverlap w:val="never"/>
              <w:tblW w:w="85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8"/>
              <w:gridCol w:w="2020"/>
              <w:gridCol w:w="1450"/>
              <w:gridCol w:w="2900"/>
            </w:tblGrid>
            <w:tr w14:paraId="704B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108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试剂套餐</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32C1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项目</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7FCC6">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缩写</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77BD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检测样本</w:t>
                  </w:r>
                </w:p>
              </w:tc>
            </w:tr>
            <w:tr w14:paraId="7D3AB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2FB7C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凝血四项检测</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4272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活化部分凝血活酶时间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4949E">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APTT</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17C9E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34ECA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09F5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5021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6529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ED01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0F47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4325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D0EB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7503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0EFC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17EB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AD9B8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2CFB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纤维蛋白原</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27757">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FIB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E5E8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7EE0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6D0F6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1FE5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国际标准化比值</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FF392">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INR</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82BD4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4DDC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A765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763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9AE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EE40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BB22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7C41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D-二聚体</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E697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D-二聚体</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E295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D-Dimer</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194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4E3F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593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糖化血红蛋白</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2F7F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糖化血红蛋白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0A68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HbA1c</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D944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全血</w:t>
                  </w:r>
                </w:p>
              </w:tc>
            </w:tr>
            <w:tr w14:paraId="32FC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74B8D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糖尿病套餐一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9EF1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葡萄糖</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167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Glu</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6A6E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7AC6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D27A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A9FF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糖化血清白蛋白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C48A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78A6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3D0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DD3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糖尿病套餐二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7BE1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1,5-脱水-D-山梨醇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B5B6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1,5-AG</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CE99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5B22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341B3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肝功能套餐一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A1C5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谷丙转氨酶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7AFC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ALT</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44951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7B6C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EE9E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EC97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谷草转氨酶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6E03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AST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4A1B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232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AC8862">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240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总胆红素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84DB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4D93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6643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98B9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2C99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7429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352C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ACD9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933F4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肝功能套餐二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403B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直接胆红素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E803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DB</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2FCE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3E1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7A222">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1E19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13B9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BAF8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D6D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97C4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9AF5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碱性磷酸酶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A84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2B54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5CC2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4C80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7FCE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γ-谷氨酰转移酶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0D70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GGT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04AB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C9E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A27B7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肾功能套餐一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7499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B214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Urea</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D2413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08D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4971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85A4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9D9D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Crea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9CC2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D18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A78E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43A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尿酸</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9EF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C0F1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5032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9948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肾功能套餐二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1AE2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β2-微球蛋白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606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β2-MG</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C2D8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54F9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9AAF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C2A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胱抑素C</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816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Cys 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A843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B5BD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FB99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ACR</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C3B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尿微量白蛋白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9AB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mALB</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FA58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尿液</w:t>
                  </w:r>
                </w:p>
              </w:tc>
            </w:tr>
            <w:tr w14:paraId="6446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A002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0930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ACB3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UCr</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56BB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2B8C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A349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6FA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mAlb/Ucr</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FA248">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ACR</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FFDE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BCF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8A61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中性粒细胞明胶酶相关脂质运载蛋白</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492A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中性粒细胞明胶酶相关脂质运载蛋白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8D14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NGAL</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D594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4CF82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711BB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血脂常规套餐</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4C7D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B5CA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TC</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100EF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1102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A4160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A74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甘油三酯</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465C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TG</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BE01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B0C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C379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C80A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高密度脂蛋白胆固醇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6B84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3BAC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F51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E7D1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06C6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低密度脂蛋白胆固醇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0C1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E931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06F3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4C39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577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A734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HCY</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A2FE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29C8B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A1DB6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四高筛查</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0B0A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葡萄糖</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401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Glu</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B1064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92DB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AB0A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F730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798E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HCY</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F6FA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92F1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7AC72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ED2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BA5E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1279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9F9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9655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8C7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低密度脂蛋白胆固醇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7CE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FB4F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A4D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17C3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消化系统筛查</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D35A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总胆汁酸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9877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TBA</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B50A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7E352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CDFF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57CC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胆碱酯酶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65FA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CHE</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3929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0771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B740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8334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α-淀粉酶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D10B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α-AMY</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2CAB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C543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F16D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E843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C511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PG I</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9047A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587D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97ED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C8AC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胃蛋白酶原II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81C3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PG II</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7509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D0B9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A2DD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电解质套餐一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FB30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钾</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37BB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K</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89681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7E33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5242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CDC9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D2F8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Na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7D92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253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2669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7F55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氯</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4BDB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Cl</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E368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3EF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2E5A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7618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钙</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298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5A65A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0B52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DECA4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电解质套餐二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3391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二氧化碳</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108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CO2</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B85AA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1D2F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9C7FD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664E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镁</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7B0D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Mg</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3F1F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B219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679F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7076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磷</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DA72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38DD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416C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2A7D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D9FA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铁</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53C2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Fe</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81FF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7A5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95D0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风湿三项</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ABA6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抗链球菌溶血素O</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7804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ASO</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96EF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C852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71607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9726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类风湿因子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D903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RF</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D7922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60EE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23EC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ED95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C反应蛋白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E296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CRP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BA009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69CB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6DE7D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免疫球蛋白三项</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034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免疫球蛋白G</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D6BC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IgG</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968DD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17EE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9211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F3B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免疫球蛋白M</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D12D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IgM</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CFEB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A89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D874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1A3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免疫球蛋白A</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1393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8D26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23B2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0908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心肌酶常规</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8FA7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313D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835D9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CD4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7946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A5BA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肌酸激酶同工酶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7BAD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CKMB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5CA2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6CFD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2FB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D8D9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乳酸脱氢酶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FD79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LDH</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AD4F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9F6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0131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39D7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α-羟基丁酸脱氢酶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CFB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α-HBDH</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1A1E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9CDD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right w:val="single" w:color="000000" w:sz="4" w:space="0"/>
                  </w:tcBorders>
                  <w:shd w:val="clear" w:color="auto" w:fill="FFFFFF"/>
                  <w:noWrap/>
                  <w:vAlign w:val="center"/>
                </w:tcPr>
                <w:p w14:paraId="074DC4F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心肌三项</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AC79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心肌肌钙蛋白I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2CF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cTnI</w:t>
                  </w:r>
                </w:p>
              </w:tc>
              <w:tc>
                <w:tcPr>
                  <w:tcW w:w="2900" w:type="dxa"/>
                  <w:vMerge w:val="restart"/>
                  <w:tcBorders>
                    <w:top w:val="single" w:color="000000" w:sz="4" w:space="0"/>
                    <w:left w:val="single" w:color="000000" w:sz="4" w:space="0"/>
                    <w:right w:val="single" w:color="000000" w:sz="4" w:space="0"/>
                  </w:tcBorders>
                  <w:shd w:val="clear" w:color="auto" w:fill="FFFFFF"/>
                  <w:vAlign w:val="center"/>
                </w:tcPr>
                <w:p w14:paraId="071BE42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4FE42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left w:val="single" w:color="000000" w:sz="4" w:space="0"/>
                    <w:right w:val="single" w:color="000000" w:sz="4" w:space="0"/>
                  </w:tcBorders>
                  <w:shd w:val="clear" w:color="auto" w:fill="FFFFFF"/>
                  <w:noWrap/>
                  <w:vAlign w:val="center"/>
                </w:tcPr>
                <w:p w14:paraId="20042E15">
                  <w:pPr>
                    <w:jc w:val="center"/>
                    <w:rPr>
                      <w:rFonts w:hint="eastAsia" w:ascii="微软雅黑" w:hAnsi="微软雅黑" w:eastAsia="微软雅黑" w:cs="微软雅黑"/>
                      <w:i w:val="0"/>
                      <w:iCs w:val="0"/>
                      <w:color w:val="000000"/>
                      <w:sz w:val="18"/>
                      <w:szCs w:val="18"/>
                      <w:u w:val="none"/>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CAC4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肌红蛋白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DBAE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MYO</w:t>
                  </w:r>
                </w:p>
              </w:tc>
              <w:tc>
                <w:tcPr>
                  <w:tcW w:w="2900" w:type="dxa"/>
                  <w:vMerge w:val="continue"/>
                  <w:tcBorders>
                    <w:left w:val="single" w:color="000000" w:sz="4" w:space="0"/>
                    <w:right w:val="single" w:color="000000" w:sz="4" w:space="0"/>
                  </w:tcBorders>
                  <w:shd w:val="clear" w:color="auto" w:fill="FFFFFF"/>
                  <w:vAlign w:val="center"/>
                </w:tcPr>
                <w:p w14:paraId="7CCE0F49">
                  <w:pPr>
                    <w:jc w:val="center"/>
                    <w:rPr>
                      <w:rFonts w:hint="eastAsia" w:ascii="微软雅黑" w:hAnsi="微软雅黑" w:eastAsia="微软雅黑" w:cs="微软雅黑"/>
                      <w:i w:val="0"/>
                      <w:iCs w:val="0"/>
                      <w:color w:val="000000"/>
                      <w:sz w:val="18"/>
                      <w:szCs w:val="18"/>
                      <w:u w:val="none"/>
                    </w:rPr>
                  </w:pPr>
                </w:p>
              </w:tc>
            </w:tr>
            <w:tr w14:paraId="7CCAB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left w:val="single" w:color="000000" w:sz="4" w:space="0"/>
                    <w:bottom w:val="single" w:color="000000" w:sz="4" w:space="0"/>
                    <w:right w:val="single" w:color="000000" w:sz="4" w:space="0"/>
                  </w:tcBorders>
                  <w:shd w:val="clear" w:color="auto" w:fill="FFFFFF"/>
                  <w:noWrap/>
                  <w:vAlign w:val="center"/>
                </w:tcPr>
                <w:p w14:paraId="02C465E7">
                  <w:pPr>
                    <w:jc w:val="center"/>
                    <w:rPr>
                      <w:rFonts w:hint="eastAsia" w:ascii="微软雅黑" w:hAnsi="微软雅黑" w:eastAsia="微软雅黑" w:cs="微软雅黑"/>
                      <w:i w:val="0"/>
                      <w:iCs w:val="0"/>
                      <w:color w:val="000000"/>
                      <w:sz w:val="18"/>
                      <w:szCs w:val="18"/>
                      <w:u w:val="none"/>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692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肌酸激酶同工酶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92C5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CKMB</w:t>
                  </w:r>
                </w:p>
              </w:tc>
              <w:tc>
                <w:tcPr>
                  <w:tcW w:w="2900" w:type="dxa"/>
                  <w:vMerge w:val="continue"/>
                  <w:tcBorders>
                    <w:left w:val="single" w:color="000000" w:sz="4" w:space="0"/>
                    <w:bottom w:val="single" w:color="000000" w:sz="4" w:space="0"/>
                    <w:right w:val="single" w:color="000000" w:sz="4" w:space="0"/>
                  </w:tcBorders>
                  <w:shd w:val="clear" w:color="auto" w:fill="FFFFFF"/>
                  <w:vAlign w:val="center"/>
                </w:tcPr>
                <w:p w14:paraId="69F531A9">
                  <w:pPr>
                    <w:jc w:val="center"/>
                    <w:rPr>
                      <w:rFonts w:hint="eastAsia" w:ascii="微软雅黑" w:hAnsi="微软雅黑" w:eastAsia="微软雅黑" w:cs="微软雅黑"/>
                      <w:i w:val="0"/>
                      <w:iCs w:val="0"/>
                      <w:color w:val="000000"/>
                      <w:sz w:val="18"/>
                      <w:szCs w:val="18"/>
                      <w:u w:val="none"/>
                    </w:rPr>
                  </w:pPr>
                </w:p>
              </w:tc>
            </w:tr>
          </w:tbl>
          <w:p w14:paraId="50808376">
            <w:pPr>
              <w:rPr>
                <w:rFonts w:hint="eastAsia" w:ascii="微软雅黑" w:hAnsi="微软雅黑" w:eastAsia="微软雅黑"/>
                <w:sz w:val="40"/>
              </w:rPr>
            </w:pPr>
          </w:p>
          <w:p w14:paraId="73A6700F">
            <w:pPr>
              <w:rPr>
                <w:rFonts w:hint="eastAsia" w:ascii="微软雅黑" w:hAnsi="微软雅黑" w:eastAsia="微软雅黑"/>
                <w:sz w:val="40"/>
              </w:rPr>
            </w:pPr>
          </w:p>
          <w:p w14:paraId="2A6C5AE3">
            <w:pPr>
              <w:keepNext w:val="0"/>
              <w:keepLines w:val="0"/>
              <w:widowControl/>
              <w:suppressLineNumbers w:val="0"/>
              <w:jc w:val="left"/>
              <w:rPr>
                <w:rFonts w:hint="eastAsia" w:ascii="仿宋" w:hAnsi="仿宋" w:eastAsia="仿宋" w:cs="仿宋"/>
                <w:color w:val="000000"/>
                <w:kern w:val="0"/>
                <w:sz w:val="24"/>
                <w:szCs w:val="24"/>
                <w:lang w:val="en-US" w:eastAsia="zh-CN" w:bidi="ar"/>
              </w:rPr>
            </w:pPr>
          </w:p>
          <w:p w14:paraId="0A27504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640098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1C54E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213917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44CE635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211CD83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25060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98BBE2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1B1AC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3071653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6CA8A1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12740E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B9E00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50444C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CFBBDB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D72C7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2253CC8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4AD0FFE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6FDC3E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75BD91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91E5E7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F5AB8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A9010C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8BE40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6538EA5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8F7614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4F4EBE2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3DC23A5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704E">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0817">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5B73">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42,000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5520">
            <w:pPr>
              <w:widowControl/>
              <w:jc w:val="both"/>
              <w:textAlignment w:val="center"/>
              <w:rPr>
                <w:rFonts w:hint="default" w:ascii="仿宋" w:hAnsi="仿宋" w:eastAsia="仿宋" w:cs="仿宋"/>
                <w:color w:val="000000"/>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CA54">
            <w:pPr>
              <w:keepNext w:val="0"/>
              <w:keepLines w:val="0"/>
              <w:widowControl/>
              <w:suppressLineNumbers w:val="0"/>
              <w:jc w:val="center"/>
              <w:textAlignment w:val="center"/>
              <w:rPr>
                <w:rFonts w:hint="default" w:ascii="仿宋" w:hAnsi="仿宋" w:eastAsia="仿宋" w:cs="仿宋"/>
                <w:i w:val="0"/>
                <w:color w:val="000000"/>
                <w:kern w:val="2"/>
                <w:sz w:val="24"/>
                <w:szCs w:val="24"/>
                <w:u w:val="none"/>
                <w:lang w:val="en-US" w:eastAsia="zh-CN" w:bidi="ar-SA"/>
              </w:rPr>
            </w:pPr>
          </w:p>
        </w:tc>
      </w:tr>
      <w:tr w14:paraId="3465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049"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56AE">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6BB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糖化血红蛋白分析仪</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top"/>
          </w:tcPr>
          <w:p w14:paraId="35757C63">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基本参数：</w:t>
            </w:r>
          </w:p>
          <w:p w14:paraId="3181F9F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宋体" w:eastAsia="宋体" w:cs="宋体"/>
                <w:color w:val="auto"/>
              </w:rPr>
              <w:t>1</w:t>
            </w:r>
            <w:r>
              <w:rPr>
                <w:rFonts w:hint="eastAsia" w:ascii="仿宋" w:hAnsi="仿宋" w:eastAsia="仿宋" w:cs="仿宋"/>
                <w:color w:val="000000"/>
                <w:kern w:val="0"/>
                <w:sz w:val="24"/>
                <w:szCs w:val="24"/>
                <w:lang w:val="en-US" w:eastAsia="zh-CN" w:bidi="ar"/>
              </w:rPr>
              <w:t xml:space="preserve">、配套试剂产品名称（方法学）：糖化血红蛋白检测试剂（液相色谱法） </w:t>
            </w:r>
          </w:p>
          <w:p w14:paraId="14FE9CE2">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2、测定项目：糖化血红蛋白 HbAlc</w:t>
            </w:r>
          </w:p>
          <w:p w14:paraId="7404E8E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3、测定范围：4% - 16% </w:t>
            </w:r>
          </w:p>
          <w:p w14:paraId="60350C2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4、性能指标：重复性(CV)≤3.0% </w:t>
            </w:r>
          </w:p>
          <w:p w14:paraId="637A81F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5、测定时间：4分钟(含出报告) </w:t>
            </w:r>
          </w:p>
          <w:p w14:paraId="0F51206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6、样品类型：静脉全血( EDTA抗凝)，手指末梢血 </w:t>
            </w:r>
          </w:p>
          <w:p w14:paraId="2F68141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7、内存：1000个测试报告(含测试曲线)</w:t>
            </w:r>
          </w:p>
          <w:p w14:paraId="4B312FF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8、显示器：240*320LCD图形显示器，可实时显示测试曲线</w:t>
            </w:r>
          </w:p>
          <w:p w14:paraId="6F64536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9、打印机：内置58mm热敏打印机，可打印测试曲线及报告 </w:t>
            </w:r>
          </w:p>
          <w:p w14:paraId="608EEEE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10、批量分析：测试报告同时输出IFCC浓度值，NGSP面积百分比，ADAG平均血糖 </w:t>
            </w:r>
          </w:p>
          <w:p w14:paraId="084BCEF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11、通讯接口：RS232通讯接口，可与HIS／LIS系统连接 </w:t>
            </w:r>
          </w:p>
          <w:p w14:paraId="6B34D34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12、电    源：～220V±22V、50±1HZ、215VA </w:t>
            </w:r>
          </w:p>
          <w:p w14:paraId="4620E71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13、仪器尺寸：408mm×390mm×230mm </w:t>
            </w:r>
          </w:p>
          <w:p w14:paraId="7B65955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14、仪器重量：10kg（含进样系统）</w:t>
            </w:r>
          </w:p>
          <w:p w14:paraId="1553FC8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15、环境温度：温度10℃-30℃；相对湿度≤70% </w:t>
            </w:r>
          </w:p>
          <w:p w14:paraId="703BB57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功能特点：</w:t>
            </w:r>
            <w:r>
              <w:rPr>
                <w:rFonts w:hint="eastAsia" w:ascii="仿宋" w:hAnsi="仿宋" w:eastAsia="仿宋" w:cs="仿宋"/>
                <w:color w:val="000000"/>
                <w:kern w:val="0"/>
                <w:sz w:val="24"/>
                <w:szCs w:val="24"/>
                <w:lang w:val="en-US" w:eastAsia="zh-CN" w:bidi="ar"/>
              </w:rPr>
              <w:t xml:space="preserve"> </w:t>
            </w:r>
          </w:p>
          <w:p w14:paraId="3187689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1、批量分析</w:t>
            </w:r>
          </w:p>
          <w:p w14:paraId="36860A9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嵌入式微处理系统+智能化控制软件，可以实时显示测试曲线，可对测试结果、吸光度、信号电位、峰值时间和试剂消耗进行监测报警。</w:t>
            </w:r>
          </w:p>
          <w:p w14:paraId="33D0552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2、全自动25位盘式进样，批量自动检测，急诊随时插入。 </w:t>
            </w:r>
          </w:p>
          <w:p w14:paraId="10C57B1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3、全开放结构</w:t>
            </w:r>
          </w:p>
          <w:p w14:paraId="3F14EE9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全开放式结构，全电磁阀流路，耐用且方便维护。</w:t>
            </w:r>
          </w:p>
          <w:p w14:paraId="4912EFA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4、微量全血，可适用实验室及临床门诊</w:t>
            </w:r>
          </w:p>
          <w:p w14:paraId="466C528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 前处理简单，只需取微量全血加入溶血剂（无需精确控制溶血比例）三步简单操作即可上机测试，静脉全血和手指末梢血均可使用，可适用实验室批量测试，可适用临床门诊即时提供检测结果。</w:t>
            </w:r>
          </w:p>
          <w:p w14:paraId="3690F42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5、采用的试剂溶解性气体消除装置和比色池气泡自动检测排除技术</w:t>
            </w:r>
          </w:p>
          <w:p w14:paraId="3F554DF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试剂溶解性气体消除装置和比色池气泡自动检测排除技术，替代复杂的脱气装置，降低气泡对检测结果的影响。 </w:t>
            </w:r>
          </w:p>
          <w:p w14:paraId="7935649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6、测试报告 </w:t>
            </w:r>
          </w:p>
          <w:p w14:paraId="60492A0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测试报告同时输出IFCC浓度值、NGSP面积百分比、ADAG平均血糖。内存1000个含测试曲线报告，配有RS232通迅接口，可与HIS/LIS系统连接。 </w:t>
            </w:r>
          </w:p>
          <w:p w14:paraId="12B71F1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7、独创的四梯度洗脱法 </w:t>
            </w:r>
          </w:p>
          <w:p w14:paraId="18F6ED1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独创的HbA1c四梯度洗脱法，针对HbA1c采用四种对应浓度试剂梯度洗脱，有效分离糖化血红蛋白。（专利号：ZL201110084781.3） </w:t>
            </w:r>
          </w:p>
          <w:p w14:paraId="1BD9CE3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8、高效液相层析柱 </w:t>
            </w:r>
          </w:p>
          <w:p w14:paraId="0556B02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高效液相层析柱，体积为9mm*45mm重达2.5克进口树脂，高达300个测试的高效柱。</w:t>
            </w:r>
          </w:p>
          <w:p w14:paraId="0E4F842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9、高灵敏度415nmLED一体化光度计 </w:t>
            </w:r>
          </w:p>
          <w:p w14:paraId="4157150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高灵敏度415nm LED一体化光度计，波长、光源稳定，全铝合金结构，抗干扰能力强，多镜片聚焦，微量比色池，灵敏度高，记录分析曲线。 </w:t>
            </w:r>
          </w:p>
          <w:p w14:paraId="703278D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10、配套校准品、质控品</w:t>
            </w:r>
          </w:p>
          <w:p w14:paraId="277A62A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采用量值溯源方法及标准质控物物质进行数值传递，可适时校准，避免导致偏差。 </w:t>
            </w:r>
          </w:p>
          <w:p w14:paraId="1A85CBF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11、恒温装置 </w:t>
            </w:r>
          </w:p>
          <w:p w14:paraId="055FF05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恒温控制装置使层析柱及试剂不受环境温度变化的影响。</w:t>
            </w:r>
          </w:p>
          <w:p w14:paraId="1AB6A86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12、技术特点：</w:t>
            </w:r>
          </w:p>
          <w:p w14:paraId="05EC26E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1）机内预温：样本无需机外预温，直接上机检测。</w:t>
            </w:r>
          </w:p>
          <w:p w14:paraId="407296E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2）高耐久性泵管：免维护压管微型泵，吸样误差小。高性能泵管，寿命可达1000例样本。</w:t>
            </w:r>
          </w:p>
          <w:p w14:paraId="0DDD464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3）防堵过滤装置：新增样本防堵过滤装置，防止管道堵塞。</w:t>
            </w:r>
          </w:p>
          <w:p w14:paraId="5FC820D7">
            <w:pPr>
              <w:keepNext w:val="0"/>
              <w:keepLines w:val="0"/>
              <w:widowControl/>
              <w:suppressLineNumbers w:val="0"/>
              <w:jc w:val="left"/>
              <w:rPr>
                <w:rFonts w:hint="eastAsia" w:ascii="微软雅黑" w:hAnsi="微软雅黑" w:eastAsia="微软雅黑" w:cs="微软雅黑"/>
                <w:i w:val="0"/>
                <w:iCs w:val="0"/>
                <w:color w:val="000000"/>
                <w:kern w:val="0"/>
                <w:sz w:val="18"/>
                <w:szCs w:val="18"/>
                <w:u w:val="none"/>
                <w:lang w:val="en-US" w:eastAsia="zh-CN" w:bidi="ar"/>
              </w:rPr>
            </w:pPr>
            <w:r>
              <w:rPr>
                <w:rFonts w:hint="eastAsia" w:ascii="仿宋" w:hAnsi="仿宋" w:eastAsia="仿宋" w:cs="仿宋"/>
                <w:color w:val="000000"/>
                <w:kern w:val="0"/>
                <w:sz w:val="24"/>
                <w:szCs w:val="24"/>
                <w:lang w:val="en-US" w:eastAsia="zh-CN" w:bidi="ar"/>
              </w:rPr>
              <w:t>4）压力查询：仪器可通过此程序来检测仪器是否发生的堵塞，以快速的进行故障判断。</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A9B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C16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70E7">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EB44">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102C">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69C6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4"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7743">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631C82A8">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6915">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宋体" w:eastAsia="宋体" w:cs="宋体"/>
                <w:kern w:val="2"/>
                <w:lang w:val="en-US" w:eastAsia="zh-CN"/>
              </w:rPr>
              <w:t>便携式超声骨密度仪</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top"/>
          </w:tcPr>
          <w:p w14:paraId="6F6DE9B8">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技术参数</w:t>
            </w:r>
          </w:p>
          <w:p w14:paraId="5E4D1CC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1、全干式沿骨轴测量，检查流程简约智能一体化，无须脱鞋，防交叉感染；</w:t>
            </w:r>
          </w:p>
          <w:p w14:paraId="7904AB8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2、四晶片双发射双接收模式，定量测量骨声速(SOS)；</w:t>
            </w:r>
          </w:p>
          <w:p w14:paraId="714601F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3、标配桡骨+胫骨双部位测量功能； </w:t>
            </w:r>
          </w:p>
          <w:p w14:paraId="3A197B5E">
            <w:pPr>
              <w:keepNext w:val="0"/>
              <w:keepLines w:val="0"/>
              <w:widowControl/>
              <w:suppressLineNumbers w:val="0"/>
              <w:jc w:val="left"/>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*4、15寸触屏一体式主机，屏幕可调节角度，内置扬声器，主机适配CM,CR,CS,CU多种不同功能探头；</w:t>
            </w:r>
          </w:p>
          <w:p w14:paraId="5ED312A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5、具备4个USB2.0和2个USB3.0数据接口，音频输出，支持VGA扩展外接，DC12V5A供电；</w:t>
            </w:r>
          </w:p>
          <w:p w14:paraId="05707D1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6、手持式探头：中心频率1.25MHz，灵敏度高易出图；</w:t>
            </w:r>
          </w:p>
          <w:p w14:paraId="71FFDB9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7、探头内置温度传感器，实时监测和温度补偿；</w:t>
            </w:r>
          </w:p>
          <w:p w14:paraId="7DD04B3E">
            <w:pPr>
              <w:keepNext w:val="0"/>
              <w:keepLines w:val="0"/>
              <w:widowControl/>
              <w:suppressLineNumbers w:val="0"/>
              <w:jc w:val="left"/>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8、测量重复性CV＜0.4%；准确度≤0.15%；</w:t>
            </w:r>
          </w:p>
          <w:p w14:paraId="1AFA8BD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9、自主专业分析软件，多人群测量（0-100岁）；</w:t>
            </w:r>
          </w:p>
          <w:p w14:paraId="61B5107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10、测量时间：单点&lt;2秒；单次：&lt;10秒；</w:t>
            </w:r>
          </w:p>
          <w:p w14:paraId="2B44373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11、内置多人群参考数据库； </w:t>
            </w:r>
          </w:p>
          <w:p w14:paraId="1562FF8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12、计算参数：T值、Z值、声速（SOS）、成人百分比、儿童百分比、骨质量指数（BQI）、骨骼生理年龄（PAB）、预期发生骨质疏松年龄（EOA）、相对骨折风险（RRF）、身高预测等；</w:t>
            </w:r>
          </w:p>
          <w:p w14:paraId="1F9C009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13、SQV聚乙树脂标准体模及自动温度校准补偿，确保准确性和重复性；</w:t>
            </w:r>
          </w:p>
          <w:p w14:paraId="71D0BAA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14、人性化设计，测量时显示信号接收状态和手法提示，自动提示误差较大的测量数据，操作更加直观和便利，提高测量效率；</w:t>
            </w:r>
          </w:p>
          <w:p w14:paraId="1B43C79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*15、具有嵌入式软件产品证书和国家版权局颁发的软件著作权证书及单独的便式携骨密度仪注册证；</w:t>
            </w:r>
          </w:p>
          <w:p w14:paraId="0C84C75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16、内置热敏打印机，也可外接其它不同型号的彩色喷墨打印机；</w:t>
            </w:r>
          </w:p>
          <w:p w14:paraId="288F29A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17、软件具有动画播放功能，儿童测量时吸引其注意力，方便操作人员测量；</w:t>
            </w:r>
          </w:p>
          <w:p w14:paraId="4D05E54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18、符合YY/T 0774-2019新版国家行业标准，生产企业参与超声骨密度行业和标准起草与编制；</w:t>
            </w:r>
          </w:p>
          <w:p w14:paraId="674837FB">
            <w:pPr>
              <w:keepNext w:val="0"/>
              <w:keepLines w:val="0"/>
              <w:widowControl/>
              <w:suppressLineNumbers w:val="0"/>
              <w:jc w:val="left"/>
              <w:rPr>
                <w:rFonts w:hint="default" w:ascii="仿宋" w:hAnsi="仿宋" w:eastAsia="仿宋" w:cs="仿宋"/>
                <w:color w:val="0000FF"/>
                <w:kern w:val="0"/>
                <w:sz w:val="24"/>
                <w:szCs w:val="24"/>
                <w:lang w:val="en-US" w:eastAsia="zh-CN" w:bidi="ar"/>
              </w:rPr>
            </w:pPr>
            <w:r>
              <w:rPr>
                <w:rFonts w:hint="eastAsia" w:ascii="仿宋" w:hAnsi="仿宋" w:eastAsia="仿宋" w:cs="仿宋"/>
                <w:color w:val="0000FF"/>
                <w:kern w:val="0"/>
                <w:sz w:val="24"/>
                <w:szCs w:val="24"/>
                <w:lang w:val="en-US" w:eastAsia="zh-CN" w:bidi="ar"/>
              </w:rPr>
              <w:t>19、配置专用的医疗推车，方便设备移动检测；</w:t>
            </w:r>
          </w:p>
          <w:p w14:paraId="773373C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20、全方位快速服务体系，免费保修两年，终身免费软件升级更新。</w:t>
            </w:r>
          </w:p>
          <w:p w14:paraId="7778CC22">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 xml:space="preserve">配置要求：（桡骨+胫骨，双部位） </w:t>
            </w:r>
          </w:p>
          <w:p w14:paraId="7B82F0C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1、全触摸屏骨密度主机 1 台 </w:t>
            </w:r>
          </w:p>
          <w:p w14:paraId="6DAF8AE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2、超声骨密度探头 1 个 </w:t>
            </w:r>
          </w:p>
          <w:p w14:paraId="3CCE9E5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3、SQV 校准体模 1 个 </w:t>
            </w:r>
          </w:p>
          <w:p w14:paraId="304C555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4、电源适配器（12V5A） 1 个 </w:t>
            </w:r>
          </w:p>
          <w:p w14:paraId="18B7A64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5、GND 接地线 1 根 </w:t>
            </w:r>
          </w:p>
          <w:p w14:paraId="1A4CB48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6、用户手册 1 本 </w:t>
            </w:r>
          </w:p>
          <w:p w14:paraId="6375A89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7、合格证和保修卡 1 套 </w:t>
            </w:r>
          </w:p>
          <w:p w14:paraId="50B01B4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8、定位标尺和标记笔 1 套 </w:t>
            </w:r>
          </w:p>
          <w:p w14:paraId="0F7C0C0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9、手垫 1 个 </w:t>
            </w:r>
          </w:p>
          <w:p w14:paraId="65AD858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10、探头支架 1 个 </w:t>
            </w:r>
          </w:p>
          <w:p w14:paraId="06D5398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11、内置热敏黑白打印机 1 台</w:t>
            </w:r>
          </w:p>
          <w:p w14:paraId="2950A822">
            <w:pPr>
              <w:keepNext w:val="0"/>
              <w:keepLines w:val="0"/>
              <w:widowControl/>
              <w:suppressLineNumbers w:val="0"/>
              <w:jc w:val="left"/>
              <w:rPr>
                <w:rFonts w:hint="eastAsia" w:ascii="仿宋" w:hAnsi="仿宋" w:eastAsia="仿宋" w:cs="仿宋"/>
                <w:color w:val="000000"/>
                <w:kern w:val="0"/>
                <w:sz w:val="24"/>
                <w:szCs w:val="24"/>
                <w:lang w:val="en-US" w:eastAsia="zh-CN" w:bidi="ar"/>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089C">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94C5">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0439">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39,000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CCF4">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64B9">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2851A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96"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F7A6">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4</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655A">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宋体" w:eastAsia="宋体" w:cs="宋体"/>
                <w:kern w:val="2"/>
                <w:lang w:val="en-US" w:eastAsia="zh-CN"/>
              </w:rPr>
              <w:t>眼底照相机</w:t>
            </w:r>
          </w:p>
        </w:tc>
        <w:tc>
          <w:tcPr>
            <w:tcW w:w="10268" w:type="dxa"/>
            <w:tcBorders>
              <w:top w:val="single" w:color="000000" w:sz="4" w:space="0"/>
              <w:left w:val="single" w:color="000000" w:sz="4" w:space="0"/>
              <w:bottom w:val="single" w:color="000000" w:sz="4" w:space="0"/>
              <w:right w:val="single" w:color="000000" w:sz="4" w:space="0"/>
            </w:tcBorders>
            <w:shd w:val="clear" w:color="auto" w:fill="auto"/>
            <w:vAlign w:val="top"/>
          </w:tcPr>
          <w:p w14:paraId="7EC9FC4A">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技术参数：</w:t>
            </w:r>
          </w:p>
          <w:p w14:paraId="63BF193C">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1、免散瞳眼底相机</w:t>
            </w:r>
          </w:p>
          <w:p w14:paraId="4E311498">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视场角≥40度</w:t>
            </w:r>
          </w:p>
          <w:p w14:paraId="58BCE6F0">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最小瞳孔直径≤2.8mm</w:t>
            </w:r>
          </w:p>
          <w:p w14:paraId="7B3CDE59">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屈光度调节范围 ：-15D～+15D</w:t>
            </w:r>
          </w:p>
          <w:p w14:paraId="4ADF1E0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调焦方式：自动</w:t>
            </w:r>
          </w:p>
          <w:p w14:paraId="3D872616">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相机像素：≥1200万</w:t>
            </w:r>
          </w:p>
          <w:p w14:paraId="3FE87543">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眼底照明方式：红外 LED</w:t>
            </w:r>
          </w:p>
          <w:p w14:paraId="385C94C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1.7</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闪光方式：自然白光 LED</w:t>
            </w:r>
          </w:p>
          <w:p w14:paraId="79422DC6">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图片格式：支持JPG格式</w:t>
            </w:r>
          </w:p>
          <w:p w14:paraId="33A51E89">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1.9</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文件保存：外部存储</w:t>
            </w:r>
          </w:p>
          <w:p w14:paraId="455509C3">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分辨率视场中心处≥60 lp/mm</w:t>
            </w:r>
          </w:p>
          <w:p w14:paraId="7CCC869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重量≤2000克</w:t>
            </w:r>
          </w:p>
          <w:p w14:paraId="2977906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支持自动语音提示</w:t>
            </w:r>
          </w:p>
          <w:p w14:paraId="2475EBF8">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2、糖尿病视网膜病变辅助诊断</w:t>
            </w:r>
          </w:p>
          <w:p w14:paraId="5BB7C793">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糖尿病性视网膜病变人工智能检测软件通过国家食品药品监督管理局医疗器械三类注册批准；</w:t>
            </w:r>
          </w:p>
          <w:p w14:paraId="2FF8A31D">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眼底影像处理类软件通过国家食品药品监督管理局医疗器械二类注册批准；</w:t>
            </w:r>
          </w:p>
          <w:p w14:paraId="1069602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并可在国家食品药品监督管理局政务服务网站查询到注册证编号、产品或技术服务名称等信息。</w:t>
            </w:r>
          </w:p>
          <w:p w14:paraId="001BACD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系统经过多中心临床试验，灵敏度≥90%</w:t>
            </w:r>
          </w:p>
          <w:p w14:paraId="0C6CBBE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系统经过多中心临床试验，特异度≥90%</w:t>
            </w:r>
          </w:p>
          <w:p w14:paraId="3BBF9B30">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提供自动质量控制功能，可以自动识别质量不合格的图片并提示。</w:t>
            </w:r>
          </w:p>
          <w:p w14:paraId="377697F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支持分别以双眼视盘和黄斑为中心拍摄的照片。</w:t>
            </w:r>
          </w:p>
          <w:p w14:paraId="1C8F11F6">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2.6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支持按日期、检查号、姓名查询检查单</w:t>
            </w:r>
          </w:p>
          <w:p w14:paraId="28A0EB9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3、健康风险评估</w:t>
            </w:r>
          </w:p>
          <w:p w14:paraId="69F7B6C3">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支持≥2项慢病风险评估，包括至少心脑血管、高血压风险</w:t>
            </w:r>
          </w:p>
          <w:p w14:paraId="671A882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具备无创评估未来十年缺血性心血管事件风险功能（准确性验证成果发表影响因子不低于10分SCI论文）</w:t>
            </w:r>
          </w:p>
          <w:p w14:paraId="735A140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支持对风险评估项目的删减</w:t>
            </w:r>
          </w:p>
          <w:p w14:paraId="099A3AFE">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产品可对眼底图像的视杯视盘实现自动标记和测量，杯盘比允差在±3%以内（有省级及以上医疗器械检验检测院提供的报告支持）</w:t>
            </w:r>
          </w:p>
          <w:p w14:paraId="1C2526D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自动识别同一患者的眼底照片，提供眼底的自动历史对比</w:t>
            </w:r>
          </w:p>
          <w:p w14:paraId="47C7244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4、医生工具</w:t>
            </w:r>
          </w:p>
          <w:p w14:paraId="572B682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提供用身份证、社保卡读卡器自动识别姓名、年龄、性别等用户信息功能</w:t>
            </w:r>
          </w:p>
          <w:p w14:paraId="0C81568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提供自定义患者信息登记字段功能</w:t>
            </w:r>
          </w:p>
          <w:p w14:paraId="0CB304AC">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提供对图片质量差、上传图片成功、报告生成的自动提醒</w:t>
            </w:r>
          </w:p>
          <w:p w14:paraId="10B658FC">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提供相机拍摄完成后自动上传眼底影像功能</w:t>
            </w:r>
          </w:p>
          <w:p w14:paraId="611BFED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提供手动上传眼底影像功能，并自动识别左右眼</w:t>
            </w:r>
          </w:p>
          <w:p w14:paraId="5F77257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提供医院医生审核、修改和签字功能</w:t>
            </w:r>
          </w:p>
          <w:p w14:paraId="614C7E9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4.7</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提供批量打印报告功能</w:t>
            </w:r>
          </w:p>
          <w:p w14:paraId="4119DB55">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4.8</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提供对报告抬头、logo的定制</w:t>
            </w:r>
          </w:p>
          <w:p w14:paraId="2A9D23B4">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配置清单：</w:t>
            </w:r>
          </w:p>
          <w:p w14:paraId="2F7E4EE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主机         1台</w:t>
            </w:r>
          </w:p>
          <w:p w14:paraId="5D98909C">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电源适配器   1个</w:t>
            </w:r>
          </w:p>
          <w:p w14:paraId="3E10EEB5">
            <w:pPr>
              <w:spacing w:line="240" w:lineRule="auto"/>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说明书       1张</w:t>
            </w:r>
          </w:p>
          <w:p w14:paraId="0773D6A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合格证       1张</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827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AB4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C4E5">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61,000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20B4">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FB4D">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4B16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jc w:val="center"/>
        </w:trPr>
        <w:tc>
          <w:tcPr>
            <w:tcW w:w="1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C60AEF">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合计（大写）：</w:t>
            </w:r>
            <w:bookmarkStart w:id="0" w:name="_GoBack"/>
            <w:bookmarkEnd w:id="0"/>
          </w:p>
        </w:tc>
        <w:tc>
          <w:tcPr>
            <w:tcW w:w="45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508279">
            <w:pPr>
              <w:keepNext w:val="0"/>
              <w:keepLines w:val="0"/>
              <w:widowControl/>
              <w:suppressLineNumbers w:val="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小写：      元</w:t>
            </w:r>
          </w:p>
        </w:tc>
      </w:tr>
      <w:tr w14:paraId="73379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618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4D265A8">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1.若投标产品为医疗器械的，投标产品须符合《医疗器械注册管理办法》要求并提供中华人民共和国医疗器械注册/备案等证明材料，投标人须符合《医疗器械监督管理条例》要求并提供医疗器械生产和经营企业许可证；（加盖鲜章复印件）</w:t>
            </w:r>
          </w:p>
          <w:p w14:paraId="2C1610CE">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是否接受联合体投标:不接受</w:t>
            </w:r>
          </w:p>
          <w:p w14:paraId="22E6EA82">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2.经营范围：</w:t>
            </w:r>
            <w:r>
              <w:rPr>
                <w:rFonts w:hint="eastAsia" w:ascii="仿宋" w:hAnsi="仿宋" w:eastAsia="仿宋" w:cs="仿宋"/>
                <w:i w:val="0"/>
                <w:caps w:val="0"/>
                <w:color w:val="111F2C"/>
                <w:spacing w:val="0"/>
                <w:sz w:val="24"/>
                <w:szCs w:val="24"/>
                <w:shd w:val="clear" w:fill="FFFFFF"/>
              </w:rPr>
              <w:t>符合医疗器械</w:t>
            </w:r>
            <w:r>
              <w:rPr>
                <w:rFonts w:hint="eastAsia" w:ascii="仿宋" w:hAnsi="仿宋" w:eastAsia="仿宋" w:cs="仿宋"/>
                <w:i w:val="0"/>
                <w:caps w:val="0"/>
                <w:color w:val="111F2C"/>
                <w:spacing w:val="0"/>
                <w:sz w:val="24"/>
                <w:szCs w:val="24"/>
                <w:shd w:val="clear" w:fill="FFFFFF"/>
                <w:lang w:eastAsia="zh-CN"/>
              </w:rPr>
              <w:t>经营</w:t>
            </w:r>
            <w:r>
              <w:rPr>
                <w:rFonts w:hint="eastAsia" w:ascii="仿宋" w:hAnsi="仿宋" w:eastAsia="仿宋" w:cs="仿宋"/>
                <w:i w:val="0"/>
                <w:caps w:val="0"/>
                <w:color w:val="111F2C"/>
                <w:spacing w:val="0"/>
                <w:sz w:val="24"/>
                <w:szCs w:val="24"/>
                <w:shd w:val="clear" w:fill="FFFFFF"/>
              </w:rPr>
              <w:t>相关要求</w:t>
            </w:r>
            <w:r>
              <w:rPr>
                <w:rFonts w:hint="eastAsia" w:ascii="仿宋" w:hAnsi="仿宋" w:eastAsia="仿宋" w:cs="仿宋"/>
                <w:i w:val="0"/>
                <w:color w:val="000000"/>
                <w:kern w:val="0"/>
                <w:sz w:val="24"/>
                <w:szCs w:val="24"/>
                <w:u w:val="none"/>
                <w:lang w:val="en-US" w:eastAsia="zh-CN" w:bidi="ar"/>
              </w:rPr>
              <w:t>；</w:t>
            </w:r>
          </w:p>
          <w:p w14:paraId="29716328">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3.设备</w:t>
            </w:r>
            <w:r>
              <w:rPr>
                <w:rFonts w:hint="eastAsia" w:ascii="仿宋" w:hAnsi="仿宋" w:eastAsia="仿宋" w:cs="仿宋"/>
                <w:i w:val="0"/>
                <w:color w:val="FF0000"/>
                <w:kern w:val="0"/>
                <w:sz w:val="24"/>
                <w:szCs w:val="24"/>
                <w:u w:val="none"/>
                <w:lang w:val="en-US" w:eastAsia="zh-CN" w:bidi="ar"/>
              </w:rPr>
              <w:t>免费质保两年</w:t>
            </w:r>
            <w:r>
              <w:rPr>
                <w:rFonts w:hint="eastAsia" w:ascii="仿宋" w:hAnsi="仿宋" w:eastAsia="仿宋" w:cs="仿宋"/>
                <w:i w:val="0"/>
                <w:color w:val="000000"/>
                <w:kern w:val="0"/>
                <w:sz w:val="24"/>
                <w:szCs w:val="24"/>
                <w:u w:val="none"/>
                <w:lang w:val="en-US" w:eastAsia="zh-CN" w:bidi="ar"/>
              </w:rPr>
              <w:t xml:space="preserve">，部分设备延长质保期详见具体参数；总价包括设备的运输、安装、培训等费用，包括所有的软件、硬件费用，以及其他与上述设备有关的网络接口等费用；定期开展售后服务及保养；要求国产设备生产日期必须为近三个月内，进口设备生产日期必须为近六个月内。      </w:t>
            </w:r>
          </w:p>
          <w:p w14:paraId="1CE8494D">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4.售后保障7*24小时提供技术协助，出现故障48小时内解决。  </w:t>
            </w:r>
          </w:p>
          <w:p w14:paraId="24DBD4BD">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5.采购单位提供现场勘查、应用场地。</w:t>
            </w:r>
          </w:p>
          <w:p w14:paraId="03D6282C">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6.投标人提供安装、调试、培训考核等服务。</w:t>
            </w:r>
          </w:p>
          <w:p w14:paraId="0F27A952">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投标人需提供产品相关的说明书（纸质版和电子版各一份）、操作指南（纸质版和电子版各一份）、合格证（出具单独的合格证书）、资质、出厂检验报告/证书等相关技术资料；进口设备需提供报关单等相关进口产品资料；设备仪器根据法律法规或国家标准、行业标准需具备配置许可证、使用登记证、性能检测、设备防护检测、环境检测（环评）、防护预评价（预评）、防护控制效果评价（控评）、安全性评价（安评）的，需提供相关报告/证书。</w:t>
            </w:r>
          </w:p>
          <w:p w14:paraId="5AE02BFF">
            <w:pPr>
              <w:keepNext w:val="0"/>
              <w:keepLines w:val="0"/>
              <w:widowControl/>
              <w:suppressLineNumbers w:val="0"/>
              <w:jc w:val="left"/>
              <w:textAlignment w:val="top"/>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w:t>
            </w:r>
          </w:p>
        </w:tc>
      </w:tr>
      <w:tr w14:paraId="4C29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F16397">
            <w:pPr>
              <w:jc w:val="left"/>
              <w:rPr>
                <w:rFonts w:hint="eastAsia" w:ascii="仿宋" w:hAnsi="仿宋" w:eastAsia="仿宋" w:cs="仿宋"/>
                <w:i w:val="0"/>
                <w:color w:val="000000"/>
                <w:sz w:val="22"/>
                <w:szCs w:val="22"/>
                <w:u w:val="none"/>
              </w:rPr>
            </w:pPr>
          </w:p>
        </w:tc>
      </w:tr>
      <w:tr w14:paraId="4BDD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78CEB4">
            <w:pPr>
              <w:jc w:val="left"/>
              <w:rPr>
                <w:rFonts w:hint="eastAsia" w:ascii="仿宋" w:hAnsi="仿宋" w:eastAsia="仿宋" w:cs="仿宋"/>
                <w:i w:val="0"/>
                <w:color w:val="000000"/>
                <w:sz w:val="22"/>
                <w:szCs w:val="22"/>
                <w:u w:val="none"/>
              </w:rPr>
            </w:pPr>
          </w:p>
        </w:tc>
      </w:tr>
      <w:tr w14:paraId="3675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jc w:val="center"/>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8F05B9">
            <w:pPr>
              <w:jc w:val="left"/>
              <w:rPr>
                <w:rFonts w:hint="eastAsia" w:ascii="仿宋" w:hAnsi="仿宋" w:eastAsia="仿宋" w:cs="仿宋"/>
                <w:i w:val="0"/>
                <w:color w:val="000000"/>
                <w:sz w:val="22"/>
                <w:szCs w:val="22"/>
                <w:u w:val="none"/>
              </w:rPr>
            </w:pPr>
          </w:p>
        </w:tc>
      </w:tr>
      <w:tr w14:paraId="0DFE8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jc w:val="center"/>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78729B">
            <w:pPr>
              <w:jc w:val="left"/>
              <w:rPr>
                <w:rFonts w:hint="eastAsia" w:ascii="仿宋" w:hAnsi="仿宋" w:eastAsia="仿宋" w:cs="仿宋"/>
                <w:i w:val="0"/>
                <w:color w:val="000000"/>
                <w:sz w:val="22"/>
                <w:szCs w:val="22"/>
                <w:u w:val="none"/>
              </w:rPr>
            </w:pPr>
          </w:p>
        </w:tc>
      </w:tr>
    </w:tbl>
    <w:p w14:paraId="3BB708B9">
      <w:pPr>
        <w:rPr>
          <w:rFonts w:hint="default" w:eastAsiaTheme="minorEastAsia"/>
          <w:lang w:val="en-US" w:eastAsia="zh-CN"/>
        </w:rPr>
      </w:pPr>
      <w:r>
        <w:rPr>
          <w:rFonts w:hint="eastAsia"/>
          <w:lang w:val="en-US" w:eastAsia="zh-CN"/>
        </w:rPr>
        <w:t>注：参数由卫生院提供。</w:t>
      </w:r>
    </w:p>
    <w:sectPr>
      <w:pgSz w:w="16838" w:h="11906" w:orient="landscape"/>
      <w:pgMar w:top="454" w:right="283" w:bottom="283" w:left="2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Perpetua">
    <w:altName w:val="PMingLiU-ExtB"/>
    <w:panose1 w:val="02020502060401020303"/>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N2FhOGFiMzBmZmMxNmEzZDg3YzllMTRmNGU4NTIifQ=="/>
  </w:docVars>
  <w:rsids>
    <w:rsidRoot w:val="00000000"/>
    <w:rsid w:val="000C639B"/>
    <w:rsid w:val="005725A7"/>
    <w:rsid w:val="00C535C0"/>
    <w:rsid w:val="01150337"/>
    <w:rsid w:val="013C5F71"/>
    <w:rsid w:val="016245C6"/>
    <w:rsid w:val="01EA6419"/>
    <w:rsid w:val="02772605"/>
    <w:rsid w:val="02BF2EB5"/>
    <w:rsid w:val="033D7AC2"/>
    <w:rsid w:val="034104AE"/>
    <w:rsid w:val="039732AA"/>
    <w:rsid w:val="041E7DA9"/>
    <w:rsid w:val="0431546F"/>
    <w:rsid w:val="04470F91"/>
    <w:rsid w:val="044955CA"/>
    <w:rsid w:val="044A16C3"/>
    <w:rsid w:val="048955DA"/>
    <w:rsid w:val="05630AE8"/>
    <w:rsid w:val="059663CA"/>
    <w:rsid w:val="06674572"/>
    <w:rsid w:val="066C5AC2"/>
    <w:rsid w:val="067F581C"/>
    <w:rsid w:val="06BA49A2"/>
    <w:rsid w:val="06BD2A56"/>
    <w:rsid w:val="06CA09C6"/>
    <w:rsid w:val="06CF1728"/>
    <w:rsid w:val="07C02047"/>
    <w:rsid w:val="07CB4548"/>
    <w:rsid w:val="080631A7"/>
    <w:rsid w:val="085D5EF1"/>
    <w:rsid w:val="08666021"/>
    <w:rsid w:val="089F2DD8"/>
    <w:rsid w:val="08B61AC6"/>
    <w:rsid w:val="09016EA8"/>
    <w:rsid w:val="091F0FEF"/>
    <w:rsid w:val="092B65A8"/>
    <w:rsid w:val="094907DC"/>
    <w:rsid w:val="0AB71BF5"/>
    <w:rsid w:val="0B0D637F"/>
    <w:rsid w:val="0B1F7F45"/>
    <w:rsid w:val="0B3A1316"/>
    <w:rsid w:val="0B5D3DFA"/>
    <w:rsid w:val="0B6374E4"/>
    <w:rsid w:val="0B666A61"/>
    <w:rsid w:val="0BFE17F4"/>
    <w:rsid w:val="0C377803"/>
    <w:rsid w:val="0C5B40EC"/>
    <w:rsid w:val="0C5B60C5"/>
    <w:rsid w:val="0D6D463A"/>
    <w:rsid w:val="0D790B73"/>
    <w:rsid w:val="0D7F0665"/>
    <w:rsid w:val="0E196167"/>
    <w:rsid w:val="0E2D5924"/>
    <w:rsid w:val="0E302484"/>
    <w:rsid w:val="0E8E0018"/>
    <w:rsid w:val="0E963B01"/>
    <w:rsid w:val="0EA7454C"/>
    <w:rsid w:val="0EAB7C03"/>
    <w:rsid w:val="0ED77B42"/>
    <w:rsid w:val="0F4E2781"/>
    <w:rsid w:val="0F5104FD"/>
    <w:rsid w:val="101244D9"/>
    <w:rsid w:val="107661E1"/>
    <w:rsid w:val="10A1053B"/>
    <w:rsid w:val="10C82C99"/>
    <w:rsid w:val="10E3374D"/>
    <w:rsid w:val="11057E46"/>
    <w:rsid w:val="1199283D"/>
    <w:rsid w:val="11A8097E"/>
    <w:rsid w:val="11CA7BF3"/>
    <w:rsid w:val="12066162"/>
    <w:rsid w:val="122C1405"/>
    <w:rsid w:val="122E5EA0"/>
    <w:rsid w:val="1286612C"/>
    <w:rsid w:val="13D52A66"/>
    <w:rsid w:val="13DF4058"/>
    <w:rsid w:val="142F79DC"/>
    <w:rsid w:val="147E3B58"/>
    <w:rsid w:val="14913EDF"/>
    <w:rsid w:val="14DE08BE"/>
    <w:rsid w:val="14FB08B5"/>
    <w:rsid w:val="15120818"/>
    <w:rsid w:val="152B56EA"/>
    <w:rsid w:val="1582220B"/>
    <w:rsid w:val="158C0D3B"/>
    <w:rsid w:val="158E18AA"/>
    <w:rsid w:val="15D53C7E"/>
    <w:rsid w:val="15D6758E"/>
    <w:rsid w:val="16DF08FB"/>
    <w:rsid w:val="172C7C1B"/>
    <w:rsid w:val="17337972"/>
    <w:rsid w:val="173C4E0D"/>
    <w:rsid w:val="17401BC6"/>
    <w:rsid w:val="175852D5"/>
    <w:rsid w:val="17606D9F"/>
    <w:rsid w:val="177659D8"/>
    <w:rsid w:val="178356D7"/>
    <w:rsid w:val="181C4EEA"/>
    <w:rsid w:val="181E19ED"/>
    <w:rsid w:val="181E1DBA"/>
    <w:rsid w:val="18A11603"/>
    <w:rsid w:val="18AE0126"/>
    <w:rsid w:val="18E86B9F"/>
    <w:rsid w:val="18FC465A"/>
    <w:rsid w:val="190037D1"/>
    <w:rsid w:val="19806E3B"/>
    <w:rsid w:val="198718C5"/>
    <w:rsid w:val="19FE70C3"/>
    <w:rsid w:val="1A4D6950"/>
    <w:rsid w:val="1AAD5B10"/>
    <w:rsid w:val="1B2B260A"/>
    <w:rsid w:val="1B681BF8"/>
    <w:rsid w:val="1BE7599C"/>
    <w:rsid w:val="1C351779"/>
    <w:rsid w:val="1C4E4D2C"/>
    <w:rsid w:val="1C795F98"/>
    <w:rsid w:val="1CB86ECC"/>
    <w:rsid w:val="1DAD1E68"/>
    <w:rsid w:val="1DCA7323"/>
    <w:rsid w:val="1E067EDE"/>
    <w:rsid w:val="1E8C7E00"/>
    <w:rsid w:val="1E987068"/>
    <w:rsid w:val="1EA56BD2"/>
    <w:rsid w:val="1ED744A6"/>
    <w:rsid w:val="1FE03C1B"/>
    <w:rsid w:val="20312BD5"/>
    <w:rsid w:val="20507D06"/>
    <w:rsid w:val="20CE5327"/>
    <w:rsid w:val="20EB4639"/>
    <w:rsid w:val="21164396"/>
    <w:rsid w:val="2143081C"/>
    <w:rsid w:val="221E2F01"/>
    <w:rsid w:val="224D6418"/>
    <w:rsid w:val="2259183A"/>
    <w:rsid w:val="2283602B"/>
    <w:rsid w:val="23285996"/>
    <w:rsid w:val="233E30AD"/>
    <w:rsid w:val="234B6811"/>
    <w:rsid w:val="235D6544"/>
    <w:rsid w:val="239C05FE"/>
    <w:rsid w:val="23F64FBA"/>
    <w:rsid w:val="24145C21"/>
    <w:rsid w:val="24150C25"/>
    <w:rsid w:val="243F58C2"/>
    <w:rsid w:val="246D0043"/>
    <w:rsid w:val="24BE15A8"/>
    <w:rsid w:val="25097F98"/>
    <w:rsid w:val="25277C22"/>
    <w:rsid w:val="252C5624"/>
    <w:rsid w:val="25586917"/>
    <w:rsid w:val="25E371D4"/>
    <w:rsid w:val="26210485"/>
    <w:rsid w:val="26385B1D"/>
    <w:rsid w:val="26542825"/>
    <w:rsid w:val="269E6F7C"/>
    <w:rsid w:val="26A4630C"/>
    <w:rsid w:val="26E86A6C"/>
    <w:rsid w:val="28164C76"/>
    <w:rsid w:val="284320B3"/>
    <w:rsid w:val="287532FD"/>
    <w:rsid w:val="289F07A0"/>
    <w:rsid w:val="28B06668"/>
    <w:rsid w:val="28CB074D"/>
    <w:rsid w:val="28F07334"/>
    <w:rsid w:val="29982DF3"/>
    <w:rsid w:val="29BC4699"/>
    <w:rsid w:val="29BF79BB"/>
    <w:rsid w:val="29DB3F91"/>
    <w:rsid w:val="29E44818"/>
    <w:rsid w:val="2A387171"/>
    <w:rsid w:val="2A5B2AA3"/>
    <w:rsid w:val="2AA25EEC"/>
    <w:rsid w:val="2AB24004"/>
    <w:rsid w:val="2ABA427C"/>
    <w:rsid w:val="2AD31D8A"/>
    <w:rsid w:val="2B190EAD"/>
    <w:rsid w:val="2B1C0B06"/>
    <w:rsid w:val="2B69017C"/>
    <w:rsid w:val="2B7061F5"/>
    <w:rsid w:val="2B7A741D"/>
    <w:rsid w:val="2B960845"/>
    <w:rsid w:val="2BA74B1E"/>
    <w:rsid w:val="2C1A357A"/>
    <w:rsid w:val="2C2E572D"/>
    <w:rsid w:val="2C4B7D35"/>
    <w:rsid w:val="2CF64291"/>
    <w:rsid w:val="2D201553"/>
    <w:rsid w:val="2D324036"/>
    <w:rsid w:val="2D9F5D41"/>
    <w:rsid w:val="2DE73948"/>
    <w:rsid w:val="2DFE1801"/>
    <w:rsid w:val="2E746CD7"/>
    <w:rsid w:val="2ECC112D"/>
    <w:rsid w:val="2ECE332F"/>
    <w:rsid w:val="2EDB46BE"/>
    <w:rsid w:val="2EDE3C4E"/>
    <w:rsid w:val="2F034AC5"/>
    <w:rsid w:val="2F0D7D21"/>
    <w:rsid w:val="2F466B9D"/>
    <w:rsid w:val="2FDB2BC1"/>
    <w:rsid w:val="305652DE"/>
    <w:rsid w:val="311D39ED"/>
    <w:rsid w:val="311D6431"/>
    <w:rsid w:val="31872E29"/>
    <w:rsid w:val="318E1676"/>
    <w:rsid w:val="31D0552B"/>
    <w:rsid w:val="31D50C30"/>
    <w:rsid w:val="31F55623"/>
    <w:rsid w:val="320532CB"/>
    <w:rsid w:val="321B1AA4"/>
    <w:rsid w:val="32E33B9E"/>
    <w:rsid w:val="33A70E0B"/>
    <w:rsid w:val="33C9463B"/>
    <w:rsid w:val="34111852"/>
    <w:rsid w:val="3465208B"/>
    <w:rsid w:val="34711B2B"/>
    <w:rsid w:val="34DF5583"/>
    <w:rsid w:val="34E3579A"/>
    <w:rsid w:val="35062961"/>
    <w:rsid w:val="359708CD"/>
    <w:rsid w:val="35B235E4"/>
    <w:rsid w:val="35F4436E"/>
    <w:rsid w:val="361F4C95"/>
    <w:rsid w:val="363A2B8E"/>
    <w:rsid w:val="367125DA"/>
    <w:rsid w:val="36980731"/>
    <w:rsid w:val="36A60D47"/>
    <w:rsid w:val="36E06491"/>
    <w:rsid w:val="36EE22D1"/>
    <w:rsid w:val="371A4A20"/>
    <w:rsid w:val="373F54A0"/>
    <w:rsid w:val="3762345D"/>
    <w:rsid w:val="378B301F"/>
    <w:rsid w:val="3790748F"/>
    <w:rsid w:val="384D143D"/>
    <w:rsid w:val="38B73DF5"/>
    <w:rsid w:val="38D46E50"/>
    <w:rsid w:val="390D327A"/>
    <w:rsid w:val="394D7501"/>
    <w:rsid w:val="39892CF6"/>
    <w:rsid w:val="398A7182"/>
    <w:rsid w:val="39936CA7"/>
    <w:rsid w:val="39BC5D39"/>
    <w:rsid w:val="39BF2533"/>
    <w:rsid w:val="39D17D33"/>
    <w:rsid w:val="3AB72445"/>
    <w:rsid w:val="3B1F7A21"/>
    <w:rsid w:val="3B2525E2"/>
    <w:rsid w:val="3B6354FE"/>
    <w:rsid w:val="3B872F76"/>
    <w:rsid w:val="3BA90120"/>
    <w:rsid w:val="3BCE7B87"/>
    <w:rsid w:val="3BD01C7A"/>
    <w:rsid w:val="3C29219C"/>
    <w:rsid w:val="3C5F2799"/>
    <w:rsid w:val="3D2E35F6"/>
    <w:rsid w:val="3D340A7B"/>
    <w:rsid w:val="3D4A4E66"/>
    <w:rsid w:val="3D763315"/>
    <w:rsid w:val="3D7E63B8"/>
    <w:rsid w:val="3E1A2977"/>
    <w:rsid w:val="3E492D22"/>
    <w:rsid w:val="3E7C1B1C"/>
    <w:rsid w:val="3EEA3B43"/>
    <w:rsid w:val="3EEE317B"/>
    <w:rsid w:val="3EFE4C27"/>
    <w:rsid w:val="3F29104A"/>
    <w:rsid w:val="3F2A34B9"/>
    <w:rsid w:val="3F63430C"/>
    <w:rsid w:val="3F7C015F"/>
    <w:rsid w:val="3FCB7FBF"/>
    <w:rsid w:val="40082D91"/>
    <w:rsid w:val="402B70F4"/>
    <w:rsid w:val="40AF442B"/>
    <w:rsid w:val="412D0C3C"/>
    <w:rsid w:val="419B16FA"/>
    <w:rsid w:val="42451816"/>
    <w:rsid w:val="42497F0A"/>
    <w:rsid w:val="4258106E"/>
    <w:rsid w:val="4296565E"/>
    <w:rsid w:val="42B011E0"/>
    <w:rsid w:val="43120024"/>
    <w:rsid w:val="43354ACB"/>
    <w:rsid w:val="435256F3"/>
    <w:rsid w:val="43554C6A"/>
    <w:rsid w:val="43CF547B"/>
    <w:rsid w:val="441824B8"/>
    <w:rsid w:val="442643CE"/>
    <w:rsid w:val="44756956"/>
    <w:rsid w:val="449B6FDA"/>
    <w:rsid w:val="44A97247"/>
    <w:rsid w:val="44E04544"/>
    <w:rsid w:val="44F438D4"/>
    <w:rsid w:val="4517380F"/>
    <w:rsid w:val="45344E7D"/>
    <w:rsid w:val="454B230C"/>
    <w:rsid w:val="45BE2A1A"/>
    <w:rsid w:val="45E45C89"/>
    <w:rsid w:val="4610512C"/>
    <w:rsid w:val="462471D2"/>
    <w:rsid w:val="473C3D13"/>
    <w:rsid w:val="47450157"/>
    <w:rsid w:val="47AE62D9"/>
    <w:rsid w:val="47CB7A16"/>
    <w:rsid w:val="47D3162F"/>
    <w:rsid w:val="47E04336"/>
    <w:rsid w:val="481559FC"/>
    <w:rsid w:val="4868403E"/>
    <w:rsid w:val="488844B2"/>
    <w:rsid w:val="491271D4"/>
    <w:rsid w:val="49804BB7"/>
    <w:rsid w:val="4982049B"/>
    <w:rsid w:val="49930AE4"/>
    <w:rsid w:val="4A5F5CDB"/>
    <w:rsid w:val="4A817083"/>
    <w:rsid w:val="4A9148BC"/>
    <w:rsid w:val="4A9401EE"/>
    <w:rsid w:val="4A985F30"/>
    <w:rsid w:val="4AA52808"/>
    <w:rsid w:val="4ABE320E"/>
    <w:rsid w:val="4AC11131"/>
    <w:rsid w:val="4AE263D4"/>
    <w:rsid w:val="4B05609A"/>
    <w:rsid w:val="4B530F14"/>
    <w:rsid w:val="4B715B31"/>
    <w:rsid w:val="4B803AB0"/>
    <w:rsid w:val="4BA34FDB"/>
    <w:rsid w:val="4C0E0ECB"/>
    <w:rsid w:val="4C2F17F7"/>
    <w:rsid w:val="4C3D7CD9"/>
    <w:rsid w:val="4C860058"/>
    <w:rsid w:val="4CAC2B33"/>
    <w:rsid w:val="4CD82C5B"/>
    <w:rsid w:val="4D0B1187"/>
    <w:rsid w:val="4D1D0F64"/>
    <w:rsid w:val="4DE67FA6"/>
    <w:rsid w:val="4E1859FD"/>
    <w:rsid w:val="4E374264"/>
    <w:rsid w:val="4E98317D"/>
    <w:rsid w:val="4F7B5DAA"/>
    <w:rsid w:val="4F954EF8"/>
    <w:rsid w:val="4FB24279"/>
    <w:rsid w:val="4FE25824"/>
    <w:rsid w:val="4FE91D47"/>
    <w:rsid w:val="4FF10C36"/>
    <w:rsid w:val="509D28E0"/>
    <w:rsid w:val="50E35A2B"/>
    <w:rsid w:val="50E76EB2"/>
    <w:rsid w:val="51596B98"/>
    <w:rsid w:val="51816A39"/>
    <w:rsid w:val="518831AB"/>
    <w:rsid w:val="51EC5F2C"/>
    <w:rsid w:val="531E7945"/>
    <w:rsid w:val="53762B86"/>
    <w:rsid w:val="53936913"/>
    <w:rsid w:val="53A15046"/>
    <w:rsid w:val="53D95838"/>
    <w:rsid w:val="540F6AD7"/>
    <w:rsid w:val="54300F87"/>
    <w:rsid w:val="54921C42"/>
    <w:rsid w:val="54AD3031"/>
    <w:rsid w:val="54DC1BB8"/>
    <w:rsid w:val="54DE51A8"/>
    <w:rsid w:val="55582363"/>
    <w:rsid w:val="556F2DB8"/>
    <w:rsid w:val="559C7669"/>
    <w:rsid w:val="5641175A"/>
    <w:rsid w:val="565463BA"/>
    <w:rsid w:val="56A867A8"/>
    <w:rsid w:val="56B96AFF"/>
    <w:rsid w:val="56D20E29"/>
    <w:rsid w:val="57CB32A3"/>
    <w:rsid w:val="57E65621"/>
    <w:rsid w:val="57FC484E"/>
    <w:rsid w:val="582D643B"/>
    <w:rsid w:val="58666ECB"/>
    <w:rsid w:val="586B4C84"/>
    <w:rsid w:val="58910DF1"/>
    <w:rsid w:val="58DF18A4"/>
    <w:rsid w:val="592355CE"/>
    <w:rsid w:val="596016CF"/>
    <w:rsid w:val="597011E5"/>
    <w:rsid w:val="59B10687"/>
    <w:rsid w:val="59BB61D5"/>
    <w:rsid w:val="59E727D8"/>
    <w:rsid w:val="5A18416D"/>
    <w:rsid w:val="5A1E28D8"/>
    <w:rsid w:val="5A5C0D28"/>
    <w:rsid w:val="5AA12A41"/>
    <w:rsid w:val="5ADE4279"/>
    <w:rsid w:val="5B02059A"/>
    <w:rsid w:val="5B2353A2"/>
    <w:rsid w:val="5B444928"/>
    <w:rsid w:val="5B796C43"/>
    <w:rsid w:val="5B7F6787"/>
    <w:rsid w:val="5B9C60C5"/>
    <w:rsid w:val="5BA34C8B"/>
    <w:rsid w:val="5BC10C41"/>
    <w:rsid w:val="5BC53C71"/>
    <w:rsid w:val="5BC912F9"/>
    <w:rsid w:val="5BD66091"/>
    <w:rsid w:val="5BE54DA2"/>
    <w:rsid w:val="5C5435F6"/>
    <w:rsid w:val="5CB06545"/>
    <w:rsid w:val="5CB811CB"/>
    <w:rsid w:val="5D695C85"/>
    <w:rsid w:val="5D942D36"/>
    <w:rsid w:val="5D9A5FB6"/>
    <w:rsid w:val="5D9F4847"/>
    <w:rsid w:val="5D9F6078"/>
    <w:rsid w:val="5DBE7AB1"/>
    <w:rsid w:val="5DEC4F59"/>
    <w:rsid w:val="5E1B78D0"/>
    <w:rsid w:val="5E4A533B"/>
    <w:rsid w:val="5E984D1F"/>
    <w:rsid w:val="5F4E1B41"/>
    <w:rsid w:val="5FF779F1"/>
    <w:rsid w:val="60243AF5"/>
    <w:rsid w:val="60861E9D"/>
    <w:rsid w:val="60870181"/>
    <w:rsid w:val="60C413D5"/>
    <w:rsid w:val="612807EC"/>
    <w:rsid w:val="61347D34"/>
    <w:rsid w:val="619236FC"/>
    <w:rsid w:val="61B671A0"/>
    <w:rsid w:val="61C3343B"/>
    <w:rsid w:val="61C33832"/>
    <w:rsid w:val="61FD7058"/>
    <w:rsid w:val="6256777B"/>
    <w:rsid w:val="62734BF3"/>
    <w:rsid w:val="62B249DD"/>
    <w:rsid w:val="62D426DF"/>
    <w:rsid w:val="62D9308F"/>
    <w:rsid w:val="62F776F3"/>
    <w:rsid w:val="631A0860"/>
    <w:rsid w:val="63A5022D"/>
    <w:rsid w:val="63D178E5"/>
    <w:rsid w:val="63F17847"/>
    <w:rsid w:val="63F55D49"/>
    <w:rsid w:val="640E6AEA"/>
    <w:rsid w:val="641A26A3"/>
    <w:rsid w:val="64630A3A"/>
    <w:rsid w:val="64A00EE7"/>
    <w:rsid w:val="65010930"/>
    <w:rsid w:val="658E372F"/>
    <w:rsid w:val="65D5334E"/>
    <w:rsid w:val="65EB2556"/>
    <w:rsid w:val="66061A2E"/>
    <w:rsid w:val="662D6713"/>
    <w:rsid w:val="66387F55"/>
    <w:rsid w:val="66635804"/>
    <w:rsid w:val="668A13A9"/>
    <w:rsid w:val="66CA780A"/>
    <w:rsid w:val="66FE7C89"/>
    <w:rsid w:val="672C7888"/>
    <w:rsid w:val="6743787B"/>
    <w:rsid w:val="67A27F96"/>
    <w:rsid w:val="67B26B42"/>
    <w:rsid w:val="67EE5884"/>
    <w:rsid w:val="68811156"/>
    <w:rsid w:val="688F3849"/>
    <w:rsid w:val="69990AFD"/>
    <w:rsid w:val="69A529B1"/>
    <w:rsid w:val="6A1C4030"/>
    <w:rsid w:val="6A590D58"/>
    <w:rsid w:val="6B7A1FBC"/>
    <w:rsid w:val="6BAB0266"/>
    <w:rsid w:val="6BE44793"/>
    <w:rsid w:val="6C4B7802"/>
    <w:rsid w:val="6C823D40"/>
    <w:rsid w:val="6D140FEE"/>
    <w:rsid w:val="6D2E0DC1"/>
    <w:rsid w:val="6D404A4E"/>
    <w:rsid w:val="6D4205E4"/>
    <w:rsid w:val="6D8F2431"/>
    <w:rsid w:val="6D98227E"/>
    <w:rsid w:val="6E0E7CD2"/>
    <w:rsid w:val="6E314AF2"/>
    <w:rsid w:val="6E3E229D"/>
    <w:rsid w:val="6E460594"/>
    <w:rsid w:val="6E716AB8"/>
    <w:rsid w:val="6E786858"/>
    <w:rsid w:val="6E984611"/>
    <w:rsid w:val="6ED50608"/>
    <w:rsid w:val="6EE22D65"/>
    <w:rsid w:val="6EFA3453"/>
    <w:rsid w:val="6FE01886"/>
    <w:rsid w:val="6FFC1AE0"/>
    <w:rsid w:val="70137303"/>
    <w:rsid w:val="703F54C7"/>
    <w:rsid w:val="7055379E"/>
    <w:rsid w:val="705F51CE"/>
    <w:rsid w:val="70A874DA"/>
    <w:rsid w:val="71801563"/>
    <w:rsid w:val="71900F00"/>
    <w:rsid w:val="719F4BB8"/>
    <w:rsid w:val="71F66D26"/>
    <w:rsid w:val="71F74EA3"/>
    <w:rsid w:val="724B431B"/>
    <w:rsid w:val="72500508"/>
    <w:rsid w:val="72B80D53"/>
    <w:rsid w:val="72E2350D"/>
    <w:rsid w:val="72ED3494"/>
    <w:rsid w:val="72FF44EF"/>
    <w:rsid w:val="731651C0"/>
    <w:rsid w:val="734D095B"/>
    <w:rsid w:val="735330A9"/>
    <w:rsid w:val="73A63BBF"/>
    <w:rsid w:val="73BB7416"/>
    <w:rsid w:val="740E2D9A"/>
    <w:rsid w:val="74152A07"/>
    <w:rsid w:val="74247920"/>
    <w:rsid w:val="742E3151"/>
    <w:rsid w:val="74515DE7"/>
    <w:rsid w:val="747A6AD1"/>
    <w:rsid w:val="74911176"/>
    <w:rsid w:val="74FB2A94"/>
    <w:rsid w:val="750C6D04"/>
    <w:rsid w:val="753D6F60"/>
    <w:rsid w:val="754B7990"/>
    <w:rsid w:val="75562E8E"/>
    <w:rsid w:val="75B91FE1"/>
    <w:rsid w:val="75D769FB"/>
    <w:rsid w:val="75EA78B3"/>
    <w:rsid w:val="762E7C69"/>
    <w:rsid w:val="76AF38BC"/>
    <w:rsid w:val="76D35AFE"/>
    <w:rsid w:val="776F5640"/>
    <w:rsid w:val="78A134CB"/>
    <w:rsid w:val="78B4618C"/>
    <w:rsid w:val="78C96CC5"/>
    <w:rsid w:val="78D006E9"/>
    <w:rsid w:val="7920302B"/>
    <w:rsid w:val="793228F7"/>
    <w:rsid w:val="793F18F6"/>
    <w:rsid w:val="794B30A9"/>
    <w:rsid w:val="799D2F1D"/>
    <w:rsid w:val="79A84317"/>
    <w:rsid w:val="79BA66F6"/>
    <w:rsid w:val="79CD60FB"/>
    <w:rsid w:val="79E85CDC"/>
    <w:rsid w:val="79EA1B53"/>
    <w:rsid w:val="7A0C18A5"/>
    <w:rsid w:val="7A4647B1"/>
    <w:rsid w:val="7A5060D4"/>
    <w:rsid w:val="7A6D3C0F"/>
    <w:rsid w:val="7A7C3FDE"/>
    <w:rsid w:val="7AA02113"/>
    <w:rsid w:val="7AC752E9"/>
    <w:rsid w:val="7ADA04C3"/>
    <w:rsid w:val="7BC67E48"/>
    <w:rsid w:val="7C376AA7"/>
    <w:rsid w:val="7C4205B8"/>
    <w:rsid w:val="7CB0385B"/>
    <w:rsid w:val="7CC87E50"/>
    <w:rsid w:val="7D2E1011"/>
    <w:rsid w:val="7D680F15"/>
    <w:rsid w:val="7D7A3F6E"/>
    <w:rsid w:val="7DC7772E"/>
    <w:rsid w:val="7DCC0B63"/>
    <w:rsid w:val="7DF54AB1"/>
    <w:rsid w:val="7E0D24EA"/>
    <w:rsid w:val="7E1A28D0"/>
    <w:rsid w:val="7E6957F7"/>
    <w:rsid w:val="7E8E482E"/>
    <w:rsid w:val="7EA9128D"/>
    <w:rsid w:val="7EAC488D"/>
    <w:rsid w:val="7EC46E2C"/>
    <w:rsid w:val="7F796130"/>
    <w:rsid w:val="7F7D5BB0"/>
    <w:rsid w:val="7FEF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5">
    <w:name w:val="Normal (Web)"/>
    <w:basedOn w:val="1"/>
    <w:qFormat/>
    <w:uiPriority w:val="99"/>
    <w:pPr>
      <w:widowControl/>
      <w:spacing w:before="100" w:beforeAutospacing="1" w:after="100" w:afterAutospacing="1"/>
      <w:jc w:val="left"/>
    </w:pPr>
    <w:rPr>
      <w:kern w:val="0"/>
      <w:sz w:val="24"/>
      <w:szCs w:val="24"/>
    </w:rPr>
  </w:style>
  <w:style w:type="character" w:customStyle="1" w:styleId="8">
    <w:name w:val="font122"/>
    <w:basedOn w:val="7"/>
    <w:qFormat/>
    <w:uiPriority w:val="0"/>
    <w:rPr>
      <w:rFonts w:hint="eastAsia" w:ascii="宋体" w:hAnsi="宋体" w:eastAsia="宋体" w:cs="宋体"/>
      <w:color w:val="000000"/>
      <w:sz w:val="40"/>
      <w:szCs w:val="40"/>
      <w:u w:val="single"/>
    </w:rPr>
  </w:style>
  <w:style w:type="character" w:customStyle="1" w:styleId="9">
    <w:name w:val="font171"/>
    <w:basedOn w:val="7"/>
    <w:qFormat/>
    <w:uiPriority w:val="0"/>
    <w:rPr>
      <w:rFonts w:hint="eastAsia" w:ascii="宋体" w:hAnsi="宋体" w:eastAsia="宋体" w:cs="宋体"/>
      <w:color w:val="000000"/>
      <w:sz w:val="40"/>
      <w:szCs w:val="40"/>
      <w:u w:val="none"/>
    </w:rPr>
  </w:style>
  <w:style w:type="character" w:customStyle="1" w:styleId="10">
    <w:name w:val="font161"/>
    <w:basedOn w:val="7"/>
    <w:qFormat/>
    <w:uiPriority w:val="0"/>
    <w:rPr>
      <w:rFonts w:hint="eastAsia" w:ascii="仿宋" w:hAnsi="仿宋" w:eastAsia="仿宋" w:cs="仿宋"/>
      <w:color w:val="000000"/>
      <w:sz w:val="20"/>
      <w:szCs w:val="20"/>
      <w:u w:val="none"/>
    </w:rPr>
  </w:style>
  <w:style w:type="character" w:customStyle="1" w:styleId="11">
    <w:name w:val="font201"/>
    <w:basedOn w:val="7"/>
    <w:qFormat/>
    <w:uiPriority w:val="0"/>
    <w:rPr>
      <w:rFonts w:hint="eastAsia" w:ascii="仿宋" w:hAnsi="仿宋" w:eastAsia="仿宋" w:cs="仿宋"/>
      <w:b/>
      <w:color w:val="000000"/>
      <w:sz w:val="20"/>
      <w:szCs w:val="20"/>
      <w:u w:val="none"/>
    </w:rPr>
  </w:style>
  <w:style w:type="character" w:customStyle="1" w:styleId="12">
    <w:name w:val="font151"/>
    <w:basedOn w:val="7"/>
    <w:qFormat/>
    <w:uiPriority w:val="0"/>
    <w:rPr>
      <w:rFonts w:hint="eastAsia" w:ascii="仿宋" w:hAnsi="仿宋" w:eastAsia="仿宋" w:cs="仿宋"/>
      <w:color w:val="000000"/>
      <w:sz w:val="22"/>
      <w:szCs w:val="22"/>
      <w:u w:val="none"/>
    </w:rPr>
  </w:style>
  <w:style w:type="character" w:customStyle="1" w:styleId="13">
    <w:name w:val="font51"/>
    <w:basedOn w:val="7"/>
    <w:qFormat/>
    <w:uiPriority w:val="0"/>
    <w:rPr>
      <w:rFonts w:hint="eastAsia" w:ascii="仿宋" w:hAnsi="仿宋" w:eastAsia="仿宋" w:cs="仿宋"/>
      <w:b/>
      <w:color w:val="000000"/>
      <w:sz w:val="22"/>
      <w:szCs w:val="22"/>
      <w:u w:val="none"/>
    </w:rPr>
  </w:style>
  <w:style w:type="character" w:customStyle="1" w:styleId="14">
    <w:name w:val="font21"/>
    <w:basedOn w:val="7"/>
    <w:qFormat/>
    <w:uiPriority w:val="0"/>
    <w:rPr>
      <w:rFonts w:ascii="Arial" w:hAnsi="Arial" w:cs="Arial"/>
      <w:color w:val="000000"/>
      <w:sz w:val="20"/>
      <w:szCs w:val="20"/>
      <w:u w:val="none"/>
    </w:rPr>
  </w:style>
  <w:style w:type="character" w:customStyle="1" w:styleId="15">
    <w:name w:val="font111"/>
    <w:basedOn w:val="7"/>
    <w:qFormat/>
    <w:uiPriority w:val="0"/>
    <w:rPr>
      <w:rFonts w:hint="eastAsia" w:ascii="宋体" w:hAnsi="宋体" w:eastAsia="宋体" w:cs="宋体"/>
      <w:color w:val="000000"/>
      <w:sz w:val="20"/>
      <w:szCs w:val="20"/>
      <w:u w:val="none"/>
    </w:rPr>
  </w:style>
  <w:style w:type="character" w:customStyle="1" w:styleId="16">
    <w:name w:val="font12"/>
    <w:basedOn w:val="7"/>
    <w:qFormat/>
    <w:uiPriority w:val="0"/>
    <w:rPr>
      <w:rFonts w:hint="default" w:ascii="Arial" w:hAnsi="Arial" w:cs="Arial"/>
      <w:color w:val="000000"/>
      <w:sz w:val="18"/>
      <w:szCs w:val="18"/>
      <w:u w:val="none"/>
    </w:rPr>
  </w:style>
  <w:style w:type="character" w:customStyle="1" w:styleId="17">
    <w:name w:val="font41"/>
    <w:basedOn w:val="7"/>
    <w:qFormat/>
    <w:uiPriority w:val="0"/>
    <w:rPr>
      <w:rFonts w:hint="eastAsia" w:ascii="仿宋" w:hAnsi="仿宋" w:eastAsia="仿宋" w:cs="仿宋"/>
      <w:color w:val="000000"/>
      <w:sz w:val="18"/>
      <w:szCs w:val="18"/>
      <w:u w:val="none"/>
    </w:rPr>
  </w:style>
  <w:style w:type="paragraph" w:styleId="18">
    <w:name w:val="List Paragraph"/>
    <w:basedOn w:val="1"/>
    <w:qFormat/>
    <w:uiPriority w:val="34"/>
    <w:pPr>
      <w:ind w:firstLine="420" w:firstLineChars="200"/>
    </w:pPr>
    <w:rPr>
      <w:rFonts w:ascii="Calibri" w:hAnsi="Calibri"/>
      <w:szCs w:val="22"/>
    </w:rPr>
  </w:style>
  <w:style w:type="paragraph" w:customStyle="1" w:styleId="19">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paragraph" w:customStyle="1" w:styleId="20">
    <w:name w:val="列出段落1"/>
    <w:basedOn w:val="1"/>
    <w:qFormat/>
    <w:uiPriority w:val="0"/>
    <w:pPr>
      <w:widowControl/>
      <w:spacing w:after="160" w:line="276" w:lineRule="auto"/>
      <w:ind w:firstLine="420" w:firstLineChars="200"/>
      <w:jc w:val="left"/>
    </w:pPr>
    <w:rPr>
      <w:rFonts w:ascii="Perpetua" w:hAnsi="Perpetua"/>
      <w:color w:val="000000"/>
      <w:kern w:val="0"/>
      <w:sz w:val="22"/>
      <w:szCs w:val="22"/>
    </w:rPr>
  </w:style>
  <w:style w:type="character" w:customStyle="1" w:styleId="21">
    <w:name w:val="a0"/>
    <w:qFormat/>
    <w:uiPriority w:val="0"/>
  </w:style>
  <w:style w:type="paragraph" w:customStyle="1" w:styleId="22">
    <w:name w:val="Body text|1"/>
    <w:basedOn w:val="1"/>
    <w:qFormat/>
    <w:uiPriority w:val="0"/>
    <w:pPr>
      <w:widowControl w:val="0"/>
      <w:shd w:val="clear" w:color="auto" w:fill="auto"/>
      <w:spacing w:line="413" w:lineRule="auto"/>
    </w:pPr>
    <w:rPr>
      <w:rFonts w:ascii="宋体" w:hAnsi="宋体" w:eastAsia="宋体" w:cs="宋体"/>
      <w:sz w:val="20"/>
      <w:szCs w:val="20"/>
      <w:u w:val="none"/>
      <w:shd w:val="clear" w:color="auto" w:fill="auto"/>
      <w:lang w:val="zh-TW" w:eastAsia="zh-TW" w:bidi="zh-TW"/>
    </w:rPr>
  </w:style>
  <w:style w:type="paragraph" w:customStyle="1" w:styleId="23">
    <w:name w:val="Body text|2"/>
    <w:basedOn w:val="1"/>
    <w:qFormat/>
    <w:uiPriority w:val="0"/>
    <w:pPr>
      <w:widowControl w:val="0"/>
      <w:shd w:val="clear" w:color="auto" w:fill="auto"/>
      <w:spacing w:line="406" w:lineRule="exact"/>
    </w:pPr>
    <w:rPr>
      <w:sz w:val="20"/>
      <w:szCs w:val="20"/>
      <w:u w:val="none"/>
      <w:shd w:val="clear" w:color="auto" w:fill="auto"/>
    </w:rPr>
  </w:style>
  <w:style w:type="character" w:customStyle="1" w:styleId="24">
    <w:name w:val="style8"/>
    <w:basedOn w:val="7"/>
    <w:qFormat/>
    <w:uiPriority w:val="0"/>
  </w:style>
  <w:style w:type="character" w:customStyle="1" w:styleId="25">
    <w:name w:val="apple-converted-space"/>
    <w:basedOn w:val="7"/>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4482</Words>
  <Characters>5274</Characters>
  <Lines>0</Lines>
  <Paragraphs>0</Paragraphs>
  <TotalTime>34</TotalTime>
  <ScaleCrop>false</ScaleCrop>
  <LinksUpToDate>false</LinksUpToDate>
  <CharactersWithSpaces>5653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曙光一夫子</cp:lastModifiedBy>
  <cp:lastPrinted>2023-06-13T13:29:00Z</cp:lastPrinted>
  <dcterms:modified xsi:type="dcterms:W3CDTF">2024-10-23T08:40:03Z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BA59E8F8EC8A4BB9BBF9DB1F97F20A0A_13</vt:lpwstr>
  </property>
</Properties>
</file>